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C7" w:rsidRDefault="00B16EC7" w:rsidP="00B16EC7">
      <w:pPr>
        <w:spacing w:before="100" w:beforeAutospacing="1" w:after="100" w:afterAutospacing="1"/>
        <w:rPr>
          <w:rFonts w:ascii="黑体" w:eastAsia="黑体" w:hint="eastAsia"/>
          <w:sz w:val="32"/>
          <w:szCs w:val="32"/>
        </w:rPr>
      </w:pPr>
    </w:p>
    <w:p w:rsidR="00B16EC7" w:rsidRDefault="00B16EC7" w:rsidP="00B16EC7">
      <w:pPr>
        <w:spacing w:before="100" w:beforeAutospacing="1" w:after="100" w:afterAutospacing="1"/>
        <w:rPr>
          <w:rFonts w:hint="eastAsia"/>
          <w:sz w:val="30"/>
          <w:szCs w:val="30"/>
        </w:rPr>
      </w:pPr>
    </w:p>
    <w:p w:rsidR="00B16EC7" w:rsidRDefault="00B16EC7" w:rsidP="00B16EC7">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海南省海南软件职业技术学院</w:t>
      </w:r>
    </w:p>
    <w:p w:rsidR="00B16EC7" w:rsidRDefault="00B16EC7" w:rsidP="00B16EC7">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2021年度部门决算</w:t>
      </w:r>
    </w:p>
    <w:p w:rsidR="00B16EC7" w:rsidRDefault="00B16EC7" w:rsidP="00B16EC7">
      <w:pPr>
        <w:spacing w:before="100" w:beforeAutospacing="1" w:after="100" w:afterAutospacing="1"/>
        <w:rPr>
          <w:rFonts w:ascii="黑体" w:eastAsia="黑体" w:hAnsi="ˎ̥" w:hint="eastAsia"/>
          <w:b/>
          <w:sz w:val="32"/>
          <w:szCs w:val="32"/>
        </w:rPr>
      </w:pPr>
    </w:p>
    <w:p w:rsidR="00B16EC7" w:rsidRDefault="00B16EC7" w:rsidP="00B16EC7">
      <w:pPr>
        <w:spacing w:before="100" w:beforeAutospacing="1" w:after="100" w:afterAutospacing="1"/>
        <w:jc w:val="center"/>
        <w:rPr>
          <w:rFonts w:ascii="黑体" w:eastAsia="黑体" w:hAnsi="黑体" w:cs="黑体" w:hint="eastAsia"/>
          <w:sz w:val="44"/>
          <w:szCs w:val="44"/>
        </w:rPr>
      </w:pPr>
      <w:bookmarkStart w:id="0" w:name="_Toc11440_WPSOffice_Type2"/>
      <w:r>
        <w:rPr>
          <w:rFonts w:ascii="黑体" w:eastAsia="黑体" w:hAnsi="黑体" w:cs="黑体" w:hint="eastAsia"/>
          <w:sz w:val="44"/>
          <w:szCs w:val="44"/>
        </w:rPr>
        <w:t>目  录</w:t>
      </w:r>
    </w:p>
    <w:p w:rsidR="00B16EC7" w:rsidRDefault="00B16EC7" w:rsidP="00B16EC7">
      <w:pPr>
        <w:pStyle w:val="wpsoffice1"/>
        <w:tabs>
          <w:tab w:val="right" w:leader="dot" w:pos="8306"/>
        </w:tabs>
        <w:rPr>
          <w:rFonts w:hint="eastAsia"/>
          <w:sz w:val="32"/>
          <w:szCs w:val="32"/>
        </w:rPr>
      </w:pPr>
      <w:r>
        <w:rPr>
          <w:rFonts w:ascii="黑体" w:eastAsia="黑体" w:hAnsi="ˎ̥" w:hint="eastAsia"/>
          <w:sz w:val="32"/>
          <w:szCs w:val="32"/>
        </w:rPr>
        <w:t>第一部分  海南软件职业技术学院概况</w:t>
      </w:r>
      <w:r>
        <w:rPr>
          <w:rFonts w:hint="eastAsia"/>
          <w:sz w:val="32"/>
          <w:szCs w:val="32"/>
        </w:rPr>
        <w:tab/>
        <w:t>4</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一、部门职责</w:t>
      </w:r>
      <w:r>
        <w:rPr>
          <w:rFonts w:ascii="仿宋" w:eastAsia="仿宋" w:hAnsi="仿宋" w:cs="仿宋" w:hint="eastAsia"/>
          <w:sz w:val="32"/>
          <w:szCs w:val="32"/>
        </w:rPr>
        <w:tab/>
        <w:t>4</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二、机构设置</w:t>
      </w:r>
      <w:r>
        <w:rPr>
          <w:rFonts w:ascii="仿宋" w:eastAsia="仿宋" w:hAnsi="仿宋" w:cs="仿宋" w:hint="eastAsia"/>
          <w:sz w:val="32"/>
          <w:szCs w:val="32"/>
        </w:rPr>
        <w:tab/>
        <w:t>4</w:t>
      </w:r>
    </w:p>
    <w:p w:rsidR="00B16EC7" w:rsidRDefault="00B16EC7" w:rsidP="00B16EC7">
      <w:pPr>
        <w:pStyle w:val="wpsoffice1"/>
        <w:tabs>
          <w:tab w:val="right" w:leader="dot" w:pos="8306"/>
        </w:tabs>
        <w:rPr>
          <w:rFonts w:hint="eastAsia"/>
          <w:sz w:val="32"/>
          <w:szCs w:val="32"/>
        </w:rPr>
      </w:pPr>
      <w:r>
        <w:rPr>
          <w:rFonts w:ascii="黑体" w:eastAsia="黑体" w:hAnsi="ˎ̥" w:hint="eastAsia"/>
          <w:sz w:val="32"/>
          <w:szCs w:val="32"/>
        </w:rPr>
        <w:t>第二部分  海南软件职业技术学院2021年度部门决算公开表</w:t>
      </w:r>
      <w:r>
        <w:rPr>
          <w:rFonts w:hint="eastAsia"/>
          <w:sz w:val="32"/>
          <w:szCs w:val="32"/>
        </w:rPr>
        <w:tab/>
        <w:t>4</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一、收入支出决算公开表</w:t>
      </w:r>
      <w:r>
        <w:rPr>
          <w:rFonts w:ascii="仿宋" w:eastAsia="仿宋" w:hAnsi="仿宋" w:cs="仿宋" w:hint="eastAsia"/>
          <w:sz w:val="32"/>
          <w:szCs w:val="32"/>
        </w:rPr>
        <w:tab/>
        <w:t>4</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二、收入决算公开表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三、支出决算公开表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四、财政拨款收入支出决算公开表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五、一般公共预算财政拨款收入支出决算公开表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lastRenderedPageBreak/>
        <w:t>六、一般公共预算财政拨款基本支出决算公开表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七、政府性基金预算财政拨款收入支出决算公开表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八、国有资本经营预算财政拨款收入支出决算公开表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九、一般公共预算财政拨款“三公”经费支出决算公开表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十、政府性基金预算财政拨款“三公”经费支出决算公开表</w:t>
      </w:r>
      <w:r>
        <w:rPr>
          <w:rFonts w:ascii="仿宋" w:eastAsia="仿宋" w:hAnsi="仿宋" w:cs="仿宋" w:hint="eastAsia"/>
          <w:sz w:val="32"/>
          <w:szCs w:val="32"/>
        </w:rPr>
        <w:tab/>
        <w:t>5</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十一、国有资本经营预算财政拨款“三公”经费支出决算公开表</w:t>
      </w:r>
      <w:r>
        <w:rPr>
          <w:rFonts w:ascii="仿宋" w:eastAsia="仿宋" w:hAnsi="仿宋" w:cs="仿宋" w:hint="eastAsia"/>
          <w:sz w:val="32"/>
          <w:szCs w:val="32"/>
        </w:rPr>
        <w:tab/>
        <w:t>5</w:t>
      </w:r>
    </w:p>
    <w:p w:rsidR="00B16EC7" w:rsidRDefault="00B16EC7" w:rsidP="00B16EC7">
      <w:pPr>
        <w:pStyle w:val="wpsoffice1"/>
        <w:tabs>
          <w:tab w:val="right" w:leader="dot" w:pos="8306"/>
        </w:tabs>
        <w:rPr>
          <w:rFonts w:hint="eastAsia"/>
          <w:sz w:val="32"/>
          <w:szCs w:val="32"/>
        </w:rPr>
      </w:pPr>
      <w:r>
        <w:rPr>
          <w:rFonts w:ascii="黑体" w:eastAsia="黑体" w:hAnsi="黑体" w:cs="黑体" w:hint="eastAsia"/>
          <w:sz w:val="32"/>
          <w:szCs w:val="32"/>
        </w:rPr>
        <w:t>第三部分</w:t>
      </w:r>
      <w:r>
        <w:rPr>
          <w:rFonts w:hint="eastAsia"/>
          <w:sz w:val="32"/>
          <w:szCs w:val="32"/>
        </w:rPr>
        <w:t xml:space="preserve">  </w:t>
      </w:r>
      <w:r>
        <w:rPr>
          <w:rFonts w:ascii="黑体" w:eastAsia="黑体" w:hAnsi="ˎ̥" w:hint="eastAsia"/>
          <w:sz w:val="32"/>
          <w:szCs w:val="32"/>
        </w:rPr>
        <w:t>海南软件职业技术学院2021年度部门决算情况说明</w:t>
      </w:r>
      <w:r>
        <w:rPr>
          <w:rFonts w:hint="eastAsia"/>
          <w:sz w:val="32"/>
          <w:szCs w:val="32"/>
        </w:rPr>
        <w:tab/>
        <w:t>6</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t>6</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二、收入决算情况说明</w:t>
      </w:r>
      <w:r>
        <w:rPr>
          <w:rFonts w:ascii="仿宋" w:eastAsia="仿宋" w:hAnsi="仿宋" w:cs="仿宋" w:hint="eastAsia"/>
          <w:sz w:val="32"/>
          <w:szCs w:val="32"/>
        </w:rPr>
        <w:tab/>
        <w:t>6</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三、支出决算情况说明</w:t>
      </w:r>
      <w:r>
        <w:rPr>
          <w:rFonts w:ascii="仿宋" w:eastAsia="仿宋" w:hAnsi="仿宋" w:cs="仿宋" w:hint="eastAsia"/>
          <w:sz w:val="32"/>
          <w:szCs w:val="32"/>
        </w:rPr>
        <w:tab/>
        <w:t>7</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t>7</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t>8</w:t>
      </w:r>
    </w:p>
    <w:p w:rsidR="00B16EC7" w:rsidRDefault="00B16EC7" w:rsidP="00B16EC7">
      <w:pPr>
        <w:pStyle w:val="wpsoffice2"/>
        <w:numPr>
          <w:ilvl w:val="0"/>
          <w:numId w:val="1"/>
        </w:numPr>
        <w:tabs>
          <w:tab w:val="right" w:leader="dot" w:pos="8306"/>
        </w:tabs>
        <w:rPr>
          <w:rFonts w:ascii="仿宋" w:eastAsia="仿宋" w:hAnsi="仿宋" w:cs="仿宋" w:hint="eastAsia"/>
          <w:sz w:val="32"/>
          <w:szCs w:val="32"/>
        </w:rPr>
      </w:pPr>
      <w:r>
        <w:rPr>
          <w:rFonts w:ascii="仿宋" w:eastAsia="仿宋" w:hAnsi="仿宋" w:cs="仿宋" w:hint="eastAsia"/>
          <w:bCs/>
          <w:sz w:val="32"/>
          <w:szCs w:val="32"/>
        </w:rPr>
        <w:t>一般公共预算财政拨款基本支出决算情况说明</w:t>
      </w:r>
      <w:r>
        <w:rPr>
          <w:rFonts w:ascii="仿宋" w:eastAsia="仿宋" w:hAnsi="仿宋" w:cs="仿宋" w:hint="eastAsia"/>
          <w:sz w:val="32"/>
          <w:szCs w:val="32"/>
        </w:rPr>
        <w:t>.....12</w:t>
      </w:r>
    </w:p>
    <w:p w:rsidR="00B16EC7" w:rsidRDefault="00B16EC7" w:rsidP="00B16EC7">
      <w:pPr>
        <w:pStyle w:val="wpsoffice2"/>
        <w:numPr>
          <w:ilvl w:val="0"/>
          <w:numId w:val="1"/>
        </w:numPr>
        <w:tabs>
          <w:tab w:val="right" w:leader="dot" w:pos="8306"/>
        </w:tabs>
        <w:rPr>
          <w:rFonts w:ascii="仿宋" w:eastAsia="仿宋" w:hAnsi="仿宋" w:cs="仿宋" w:hint="eastAsia"/>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12</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lastRenderedPageBreak/>
        <w:t>八、国有资本经营预算财政拨款收入支出决算情况明</w:t>
      </w:r>
      <w:r>
        <w:rPr>
          <w:rFonts w:ascii="仿宋" w:eastAsia="仿宋" w:hAnsi="仿宋" w:cs="仿宋" w:hint="eastAsia"/>
          <w:sz w:val="32"/>
          <w:szCs w:val="32"/>
        </w:rPr>
        <w:t>...13</w:t>
      </w:r>
    </w:p>
    <w:p w:rsidR="00B16EC7" w:rsidRDefault="00B16EC7" w:rsidP="00B16EC7">
      <w:pPr>
        <w:spacing w:before="100" w:beforeAutospacing="1" w:after="100" w:afterAutospacing="1"/>
        <w:rPr>
          <w:rFonts w:ascii="仿宋" w:eastAsia="仿宋" w:hAnsi="仿宋" w:cs="仿宋" w:hint="eastAsia"/>
          <w:sz w:val="32"/>
          <w:szCs w:val="32"/>
        </w:rPr>
      </w:pPr>
      <w:r>
        <w:rPr>
          <w:rFonts w:ascii="仿宋" w:eastAsia="仿宋" w:hAnsi="仿宋" w:cs="仿宋" w:hint="eastAsia"/>
          <w:bCs/>
          <w:sz w:val="32"/>
          <w:szCs w:val="32"/>
        </w:rPr>
        <w:t>九、一般公共预算财政拨款“三公”经费支出决算情况说明</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ab/>
        <w:t>13</w:t>
      </w:r>
    </w:p>
    <w:p w:rsidR="00B16EC7" w:rsidRDefault="00B16EC7" w:rsidP="00B16EC7">
      <w:pPr>
        <w:spacing w:before="100" w:beforeAutospacing="1" w:after="100" w:afterAutospacing="1"/>
        <w:rPr>
          <w:rFonts w:ascii="仿宋" w:eastAsia="仿宋" w:hAnsi="仿宋" w:cs="仿宋" w:hint="eastAsia"/>
          <w:sz w:val="32"/>
          <w:szCs w:val="32"/>
        </w:rPr>
      </w:pPr>
      <w:r>
        <w:rPr>
          <w:rFonts w:ascii="仿宋" w:eastAsia="仿宋" w:hAnsi="仿宋" w:cs="仿宋" w:hint="eastAsia"/>
          <w:bCs/>
          <w:sz w:val="32"/>
          <w:szCs w:val="32"/>
        </w:rPr>
        <w:t>十、政府性基金预算财政拨款“三公”经费支出决算情况说明</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ab/>
        <w:t>15</w:t>
      </w:r>
    </w:p>
    <w:p w:rsidR="00B16EC7" w:rsidRDefault="00B16EC7" w:rsidP="00B16EC7">
      <w:pPr>
        <w:spacing w:before="100" w:beforeAutospacing="1" w:after="100" w:afterAutospacing="1"/>
        <w:rPr>
          <w:rFonts w:ascii="仿宋" w:eastAsia="仿宋" w:hAnsi="仿宋" w:cs="仿宋" w:hint="eastAsia"/>
          <w:sz w:val="32"/>
          <w:szCs w:val="32"/>
        </w:rPr>
      </w:pPr>
      <w:r>
        <w:rPr>
          <w:rFonts w:ascii="仿宋" w:eastAsia="仿宋" w:hAnsi="仿宋" w:cs="仿宋" w:hint="eastAsia"/>
          <w:bCs/>
          <w:sz w:val="32"/>
          <w:szCs w:val="32"/>
        </w:rPr>
        <w:t>十一、国有资本经营预算财政拨款“三公”经费支出决算情况说明</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sz w:val="32"/>
          <w:szCs w:val="32"/>
        </w:rPr>
        <w:tab/>
        <w:t>16</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十二、预算绩效情况说明</w:t>
      </w:r>
      <w:r>
        <w:rPr>
          <w:rFonts w:ascii="仿宋" w:eastAsia="仿宋" w:hAnsi="仿宋" w:cs="仿宋" w:hint="eastAsia"/>
          <w:sz w:val="32"/>
          <w:szCs w:val="32"/>
        </w:rPr>
        <w:tab/>
        <w:t>16</w:t>
      </w:r>
    </w:p>
    <w:p w:rsidR="00B16EC7" w:rsidRDefault="00B16EC7" w:rsidP="00B16EC7">
      <w:pPr>
        <w:pStyle w:val="wpsoffice2"/>
        <w:tabs>
          <w:tab w:val="right" w:leader="dot" w:pos="8306"/>
        </w:tabs>
        <w:rPr>
          <w:rFonts w:ascii="仿宋" w:eastAsia="仿宋" w:hAnsi="仿宋" w:cs="仿宋" w:hint="eastAsia"/>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17</w:t>
      </w:r>
    </w:p>
    <w:p w:rsidR="00B16EC7" w:rsidRDefault="00B16EC7" w:rsidP="00B16EC7">
      <w:pPr>
        <w:pStyle w:val="wpsoffice1"/>
        <w:tabs>
          <w:tab w:val="right" w:leader="dot" w:pos="8306"/>
        </w:tabs>
        <w:rPr>
          <w:rFonts w:hint="eastAsia"/>
          <w:sz w:val="32"/>
          <w:szCs w:val="32"/>
        </w:rPr>
      </w:pPr>
      <w:r>
        <w:rPr>
          <w:rFonts w:ascii="黑体" w:eastAsia="黑体" w:hAnsi="ˎ̥" w:hint="eastAsia"/>
          <w:sz w:val="32"/>
          <w:szCs w:val="32"/>
        </w:rPr>
        <w:t>第四部分  名词解释</w:t>
      </w:r>
      <w:r>
        <w:rPr>
          <w:rFonts w:hint="eastAsia"/>
          <w:sz w:val="32"/>
          <w:szCs w:val="32"/>
        </w:rPr>
        <w:tab/>
      </w:r>
      <w:bookmarkEnd w:id="0"/>
      <w:r>
        <w:rPr>
          <w:rFonts w:hint="eastAsia"/>
          <w:sz w:val="32"/>
          <w:szCs w:val="32"/>
        </w:rPr>
        <w:t>18</w:t>
      </w:r>
    </w:p>
    <w:p w:rsidR="00B16EC7" w:rsidRDefault="00B16EC7" w:rsidP="00B16EC7">
      <w:pPr>
        <w:spacing w:before="100" w:beforeAutospacing="1" w:after="100" w:afterAutospacing="1"/>
        <w:rPr>
          <w:rFonts w:ascii="黑体" w:eastAsia="黑体" w:hAnsi="黑体" w:cs="黑体" w:hint="eastAsia"/>
          <w:sz w:val="32"/>
          <w:szCs w:val="32"/>
        </w:rPr>
      </w:pPr>
    </w:p>
    <w:p w:rsidR="00B16EC7" w:rsidRDefault="00B16EC7" w:rsidP="00B16EC7">
      <w:pPr>
        <w:spacing w:before="100" w:beforeAutospacing="1" w:after="100" w:afterAutospacing="1"/>
        <w:jc w:val="center"/>
        <w:rPr>
          <w:rFonts w:ascii="黑体" w:eastAsia="黑体" w:hAnsi="ˎ̥" w:hint="eastAsia"/>
          <w:b/>
          <w:sz w:val="32"/>
          <w:szCs w:val="32"/>
        </w:rPr>
      </w:pPr>
    </w:p>
    <w:p w:rsidR="00B16EC7" w:rsidRDefault="00B16EC7" w:rsidP="00B16EC7">
      <w:pPr>
        <w:spacing w:before="100" w:beforeAutospacing="1" w:after="100" w:afterAutospacing="1"/>
        <w:jc w:val="center"/>
        <w:rPr>
          <w:rFonts w:ascii="黑体" w:eastAsia="黑体" w:hAnsi="ˎ̥" w:hint="eastAsia"/>
          <w:b/>
          <w:sz w:val="32"/>
          <w:szCs w:val="32"/>
        </w:rPr>
      </w:pPr>
    </w:p>
    <w:p w:rsidR="00B16EC7" w:rsidRDefault="00B16EC7" w:rsidP="00B16EC7">
      <w:pPr>
        <w:spacing w:before="100" w:beforeAutospacing="1" w:after="100" w:afterAutospacing="1"/>
        <w:jc w:val="center"/>
        <w:rPr>
          <w:rFonts w:ascii="黑体" w:eastAsia="黑体" w:hAnsi="ˎ̥" w:hint="eastAsia"/>
          <w:b/>
          <w:sz w:val="32"/>
          <w:szCs w:val="32"/>
        </w:rPr>
      </w:pPr>
    </w:p>
    <w:p w:rsidR="00B16EC7" w:rsidRDefault="00B16EC7" w:rsidP="00B16EC7">
      <w:pPr>
        <w:spacing w:before="100" w:beforeAutospacing="1" w:after="100" w:afterAutospacing="1"/>
        <w:jc w:val="center"/>
        <w:rPr>
          <w:rFonts w:ascii="黑体" w:eastAsia="黑体" w:hAnsi="ˎ̥" w:hint="eastAsia"/>
          <w:sz w:val="32"/>
          <w:szCs w:val="32"/>
        </w:rPr>
      </w:pPr>
      <w:bookmarkStart w:id="1" w:name="_Toc10049_WPSOffice_Level1"/>
      <w:bookmarkStart w:id="2" w:name="_Toc32433_WPSOffice_Level1"/>
      <w:bookmarkStart w:id="3" w:name="_Toc22941_WPSOffice_Level1"/>
      <w:bookmarkStart w:id="4" w:name="_Toc1704_WPSOffice_Level1"/>
      <w:bookmarkStart w:id="5" w:name="_Toc10720_WPSOffice_Level1"/>
      <w:bookmarkStart w:id="6" w:name="_Toc23465_WPSOffice_Level1"/>
      <w:bookmarkStart w:id="7" w:name="_Toc24238_WPSOffice_Level2"/>
      <w:bookmarkStart w:id="8" w:name="_Toc26580_WPSOffice_Level2"/>
      <w:bookmarkStart w:id="9" w:name="_Toc20205_WPSOffice_Level2"/>
      <w:bookmarkStart w:id="10" w:name="_Toc20274_WPSOffice_Level2"/>
      <w:bookmarkStart w:id="11" w:name="_Toc14159_WPSOffice_Level2"/>
      <w:bookmarkStart w:id="12" w:name="_Toc32622_WPSOffice_Level2"/>
      <w:r>
        <w:rPr>
          <w:rFonts w:ascii="黑体" w:eastAsia="黑体" w:hAnsi="ˎ̥" w:hint="eastAsia"/>
          <w:sz w:val="32"/>
          <w:szCs w:val="32"/>
        </w:rPr>
        <w:lastRenderedPageBreak/>
        <w:t>第一部分  海南软件职业技术学院概况</w:t>
      </w:r>
      <w:bookmarkEnd w:id="1"/>
      <w:bookmarkEnd w:id="2"/>
      <w:bookmarkEnd w:id="3"/>
      <w:bookmarkEnd w:id="4"/>
      <w:bookmarkEnd w:id="5"/>
      <w:bookmarkEnd w:id="6"/>
    </w:p>
    <w:bookmarkEnd w:id="7"/>
    <w:p w:rsidR="00B16EC7" w:rsidRDefault="00B16EC7" w:rsidP="00B16EC7">
      <w:pPr>
        <w:pStyle w:val="a5"/>
        <w:numPr>
          <w:ilvl w:val="0"/>
          <w:numId w:val="2"/>
        </w:numPr>
        <w:spacing w:before="100" w:beforeAutospacing="1" w:after="100" w:afterAutospacing="1"/>
        <w:ind w:firstLineChars="0"/>
        <w:rPr>
          <w:rFonts w:ascii="黑体" w:eastAsia="黑体" w:hAnsi="黑体" w:cs="黑体" w:hint="eastAsia"/>
          <w:sz w:val="32"/>
          <w:szCs w:val="32"/>
        </w:rPr>
      </w:pPr>
      <w:r>
        <w:rPr>
          <w:rFonts w:ascii="黑体" w:eastAsia="黑体" w:hAnsi="黑体" w:cs="黑体" w:hint="eastAsia"/>
          <w:sz w:val="32"/>
          <w:szCs w:val="32"/>
        </w:rPr>
        <w:t>单位职责</w:t>
      </w:r>
      <w:bookmarkEnd w:id="8"/>
      <w:bookmarkEnd w:id="9"/>
      <w:bookmarkEnd w:id="10"/>
      <w:bookmarkEnd w:id="11"/>
      <w:bookmarkEnd w:id="12"/>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cs="仿宋_GB2312" w:hint="eastAsia"/>
          <w:sz w:val="32"/>
          <w:szCs w:val="32"/>
          <w:shd w:val="clear" w:color="auto" w:fill="FFFFFF"/>
        </w:rPr>
        <w:t>海南软件职业技术学院是经海南省人民政府批准、教育部备案的公办全日制高等职业学校。学校贯彻“人才为根本、教学为中心、技能为主线、质量为生命、特色为追求”的办学方针，秉承“质量立校、人才强校、特色名校、服务兴校、依法治校”的办学理念，坚持“以服务为宗旨、以就业为导向、走产学结合发展道路”的办学方向，实施“实践主导，能力本位，校企合作”人才培养模式，形成了“产教融合、校企合作”的协同育人特色。学院立足海南，服务全国，以市场需求为导向，培养面向生产、建设、管理、服务第一线需要的具有社会责任感、创新创业精神和实践能力的高素质技术技能型人才，成为海南信息产业技术技能型人才供给中心、技能培训中心、技术服务与创新中心。</w:t>
      </w:r>
    </w:p>
    <w:p w:rsidR="00B16EC7" w:rsidRDefault="00B16EC7" w:rsidP="00B16EC7">
      <w:pPr>
        <w:spacing w:before="100" w:beforeAutospacing="1" w:after="100" w:afterAutospacing="1"/>
        <w:ind w:firstLineChars="200" w:firstLine="640"/>
        <w:rPr>
          <w:rFonts w:ascii="黑体" w:eastAsia="黑体" w:hAnsi="黑体" w:cs="黑体" w:hint="eastAsia"/>
          <w:sz w:val="32"/>
          <w:szCs w:val="32"/>
        </w:rPr>
      </w:pPr>
      <w:bookmarkStart w:id="13" w:name="_Toc6572_WPSOffice_Level2"/>
      <w:bookmarkStart w:id="14" w:name="_Toc4833_WPSOffice_Level2"/>
      <w:bookmarkStart w:id="15" w:name="_Toc24059_WPSOffice_Level2"/>
      <w:bookmarkStart w:id="16" w:name="_Toc24474_WPSOffice_Level2"/>
      <w:bookmarkStart w:id="17" w:name="_Toc17796_WPSOffice_Level2"/>
      <w:r>
        <w:rPr>
          <w:rFonts w:ascii="黑体" w:eastAsia="黑体" w:hAnsi="黑体" w:cs="黑体" w:hint="eastAsia"/>
          <w:sz w:val="32"/>
          <w:szCs w:val="32"/>
        </w:rPr>
        <w:t>二、机构设置</w:t>
      </w:r>
      <w:bookmarkEnd w:id="13"/>
      <w:bookmarkEnd w:id="14"/>
      <w:bookmarkEnd w:id="15"/>
      <w:bookmarkEnd w:id="16"/>
      <w:bookmarkEnd w:id="17"/>
    </w:p>
    <w:p w:rsidR="00B16EC7" w:rsidRDefault="00B16EC7" w:rsidP="00B16EC7">
      <w:pPr>
        <w:spacing w:before="100" w:beforeAutospacing="1" w:after="100" w:afterAutospacing="1"/>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海南软件职业技术学院为省本级一级预算部门，无纳入海南软件职业技术学院2021年度部门决算编制范围的二级预算单位。</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p>
    <w:p w:rsidR="00B16EC7" w:rsidRDefault="00B16EC7" w:rsidP="00B16EC7">
      <w:pPr>
        <w:spacing w:before="100" w:beforeAutospacing="1" w:after="100" w:afterAutospacing="1"/>
        <w:jc w:val="center"/>
        <w:rPr>
          <w:rFonts w:ascii="黑体" w:eastAsia="黑体" w:hAnsi="ˎ̥" w:hint="eastAsia"/>
          <w:sz w:val="32"/>
          <w:szCs w:val="32"/>
        </w:rPr>
      </w:pPr>
      <w:bookmarkStart w:id="18" w:name="_Toc30451_WPSOffice_Level1"/>
      <w:bookmarkStart w:id="19" w:name="_Toc8164_WPSOffice_Level1"/>
      <w:bookmarkStart w:id="20" w:name="_Toc28253_WPSOffice_Level1"/>
      <w:bookmarkStart w:id="21" w:name="_Toc30690_WPSOffice_Level1"/>
      <w:bookmarkStart w:id="22" w:name="_Toc6234_WPSOffice_Level1"/>
      <w:bookmarkStart w:id="23" w:name="_Toc15521_WPSOffice_Level1"/>
      <w:bookmarkStart w:id="24" w:name="_Toc6211_WPSOffice_Level2"/>
      <w:bookmarkStart w:id="25" w:name="_Toc32695_WPSOffice_Level2"/>
      <w:bookmarkStart w:id="26" w:name="_Toc8867_WPSOffice_Level2"/>
      <w:bookmarkStart w:id="27" w:name="_Toc4029_WPSOffice_Level2"/>
      <w:bookmarkStart w:id="28" w:name="_Toc32472_WPSOffice_Level2"/>
      <w:bookmarkStart w:id="29" w:name="_Toc11518_WPSOffice_Level2"/>
      <w:r>
        <w:rPr>
          <w:rFonts w:ascii="黑体" w:eastAsia="黑体" w:hAnsi="ˎ̥" w:hint="eastAsia"/>
          <w:sz w:val="32"/>
          <w:szCs w:val="32"/>
        </w:rPr>
        <w:lastRenderedPageBreak/>
        <w:t>第二部分  海南软件职业技术学院2021年度部门决算公开报表</w:t>
      </w:r>
      <w:bookmarkEnd w:id="18"/>
      <w:bookmarkEnd w:id="19"/>
      <w:bookmarkEnd w:id="20"/>
      <w:bookmarkEnd w:id="21"/>
      <w:bookmarkEnd w:id="22"/>
      <w:bookmarkEnd w:id="23"/>
    </w:p>
    <w:p w:rsidR="00B16EC7" w:rsidRDefault="00B16EC7" w:rsidP="00B16EC7">
      <w:pPr>
        <w:spacing w:before="100" w:beforeAutospacing="1" w:after="100" w:afterAutospacing="1"/>
        <w:ind w:firstLine="645"/>
        <w:rPr>
          <w:rFonts w:ascii="黑体" w:eastAsia="黑体" w:hAnsi="黑体" w:cs="黑体" w:hint="eastAsia"/>
          <w:sz w:val="32"/>
          <w:szCs w:val="32"/>
        </w:rPr>
      </w:pPr>
      <w:r>
        <w:rPr>
          <w:rFonts w:ascii="黑体" w:eastAsia="黑体" w:hAnsi="黑体" w:cs="黑体" w:hint="eastAsia"/>
          <w:sz w:val="32"/>
          <w:szCs w:val="32"/>
        </w:rPr>
        <w:t>一、收入支出决算公开表（见正文附件）</w:t>
      </w:r>
      <w:bookmarkEnd w:id="24"/>
      <w:bookmarkEnd w:id="25"/>
      <w:bookmarkEnd w:id="26"/>
      <w:r>
        <w:rPr>
          <w:rFonts w:ascii="黑体" w:eastAsia="黑体" w:hAnsi="黑体" w:cs="黑体" w:hint="eastAsia"/>
          <w:sz w:val="32"/>
          <w:szCs w:val="32"/>
        </w:rPr>
        <w:t>。</w:t>
      </w:r>
      <w:bookmarkEnd w:id="27"/>
      <w:bookmarkEnd w:id="28"/>
      <w:bookmarkEnd w:id="29"/>
    </w:p>
    <w:p w:rsidR="00B16EC7" w:rsidRDefault="00B16EC7" w:rsidP="00B16EC7">
      <w:pPr>
        <w:spacing w:before="100" w:beforeAutospacing="1" w:after="100" w:afterAutospacing="1"/>
        <w:ind w:firstLine="645"/>
        <w:rPr>
          <w:rFonts w:ascii="黑体" w:eastAsia="黑体" w:hAnsi="黑体" w:cs="黑体" w:hint="eastAsia"/>
          <w:sz w:val="32"/>
          <w:szCs w:val="32"/>
        </w:rPr>
      </w:pPr>
      <w:bookmarkStart w:id="30" w:name="_Toc25608_WPSOffice_Level2"/>
      <w:bookmarkStart w:id="31" w:name="_Toc26621_WPSOffice_Level2"/>
      <w:bookmarkStart w:id="32" w:name="_Toc23139_WPSOffice_Level2"/>
      <w:bookmarkStart w:id="33" w:name="_Toc14349_WPSOffice_Level2"/>
      <w:bookmarkStart w:id="34" w:name="_Toc30334_WPSOffice_Level2"/>
      <w:bookmarkStart w:id="35" w:name="_Toc28622_WPSOffice_Level2"/>
      <w:r>
        <w:rPr>
          <w:rFonts w:ascii="黑体" w:eastAsia="黑体" w:hAnsi="黑体" w:cs="黑体" w:hint="eastAsia"/>
          <w:sz w:val="32"/>
          <w:szCs w:val="32"/>
        </w:rPr>
        <w:t>二、收入决算公开表（见正文附件）</w:t>
      </w:r>
      <w:bookmarkEnd w:id="30"/>
      <w:bookmarkEnd w:id="31"/>
      <w:bookmarkEnd w:id="32"/>
      <w:r>
        <w:rPr>
          <w:rFonts w:ascii="黑体" w:eastAsia="黑体" w:hAnsi="黑体" w:cs="黑体" w:hint="eastAsia"/>
          <w:sz w:val="32"/>
          <w:szCs w:val="32"/>
        </w:rPr>
        <w:t>。</w:t>
      </w:r>
      <w:bookmarkEnd w:id="33"/>
      <w:bookmarkEnd w:id="34"/>
      <w:bookmarkEnd w:id="35"/>
    </w:p>
    <w:p w:rsidR="00B16EC7" w:rsidRDefault="00B16EC7" w:rsidP="00B16EC7">
      <w:pPr>
        <w:spacing w:before="100" w:beforeAutospacing="1" w:after="100" w:afterAutospacing="1"/>
        <w:ind w:firstLine="645"/>
        <w:rPr>
          <w:rFonts w:ascii="黑体" w:eastAsia="黑体" w:hAnsi="黑体" w:cs="黑体" w:hint="eastAsia"/>
          <w:sz w:val="32"/>
          <w:szCs w:val="32"/>
        </w:rPr>
      </w:pPr>
      <w:bookmarkStart w:id="36" w:name="_Toc3262_WPSOffice_Level2"/>
      <w:bookmarkStart w:id="37" w:name="_Toc17626_WPSOffice_Level2"/>
      <w:bookmarkStart w:id="38" w:name="_Toc17858_WPSOffice_Level2"/>
      <w:bookmarkStart w:id="39" w:name="_Toc5489_WPSOffice_Level2"/>
      <w:bookmarkStart w:id="40" w:name="_Toc13854_WPSOffice_Level2"/>
      <w:bookmarkStart w:id="41" w:name="_Toc14658_WPSOffice_Level2"/>
      <w:r>
        <w:rPr>
          <w:rFonts w:ascii="黑体" w:eastAsia="黑体" w:hAnsi="黑体" w:cs="黑体" w:hint="eastAsia"/>
          <w:sz w:val="32"/>
          <w:szCs w:val="32"/>
        </w:rPr>
        <w:t>三、支出决算公开表（见正文附件）</w:t>
      </w:r>
      <w:bookmarkEnd w:id="36"/>
      <w:bookmarkEnd w:id="37"/>
      <w:bookmarkEnd w:id="38"/>
      <w:r>
        <w:rPr>
          <w:rFonts w:ascii="黑体" w:eastAsia="黑体" w:hAnsi="黑体" w:cs="黑体" w:hint="eastAsia"/>
          <w:sz w:val="32"/>
          <w:szCs w:val="32"/>
        </w:rPr>
        <w:t>。</w:t>
      </w:r>
      <w:bookmarkEnd w:id="39"/>
      <w:bookmarkEnd w:id="40"/>
      <w:bookmarkEnd w:id="41"/>
    </w:p>
    <w:p w:rsidR="00B16EC7" w:rsidRDefault="00B16EC7" w:rsidP="00B16EC7">
      <w:pPr>
        <w:spacing w:before="100" w:beforeAutospacing="1" w:after="100" w:afterAutospacing="1"/>
        <w:ind w:firstLine="645"/>
        <w:rPr>
          <w:rFonts w:ascii="黑体" w:eastAsia="黑体" w:hAnsi="黑体" w:cs="黑体" w:hint="eastAsia"/>
          <w:sz w:val="32"/>
          <w:szCs w:val="32"/>
        </w:rPr>
      </w:pPr>
      <w:bookmarkStart w:id="42" w:name="_Toc23591_WPSOffice_Level2"/>
      <w:bookmarkStart w:id="43" w:name="_Toc13701_WPSOffice_Level2"/>
      <w:bookmarkStart w:id="44" w:name="_Toc21415_WPSOffice_Level2"/>
      <w:bookmarkStart w:id="45" w:name="_Toc7988_WPSOffice_Level2"/>
      <w:bookmarkStart w:id="46" w:name="_Toc23493_WPSOffice_Level2"/>
      <w:bookmarkStart w:id="47" w:name="_Toc4265_WPSOffice_Level2"/>
      <w:r>
        <w:rPr>
          <w:rFonts w:ascii="黑体" w:eastAsia="黑体" w:hAnsi="黑体" w:cs="黑体" w:hint="eastAsia"/>
          <w:sz w:val="32"/>
          <w:szCs w:val="32"/>
        </w:rPr>
        <w:t>四、财政拨款收入支出决算公开表（见正文附件）</w:t>
      </w:r>
      <w:bookmarkEnd w:id="42"/>
      <w:bookmarkEnd w:id="43"/>
      <w:bookmarkEnd w:id="44"/>
      <w:r>
        <w:rPr>
          <w:rFonts w:ascii="黑体" w:eastAsia="黑体" w:hAnsi="黑体" w:cs="黑体" w:hint="eastAsia"/>
          <w:sz w:val="32"/>
          <w:szCs w:val="32"/>
        </w:rPr>
        <w:t>。</w:t>
      </w:r>
      <w:bookmarkEnd w:id="45"/>
      <w:bookmarkEnd w:id="46"/>
      <w:bookmarkEnd w:id="47"/>
    </w:p>
    <w:p w:rsidR="00B16EC7" w:rsidRDefault="00B16EC7" w:rsidP="00B16EC7">
      <w:pPr>
        <w:spacing w:before="100" w:beforeAutospacing="1" w:after="100" w:afterAutospacing="1"/>
        <w:ind w:firstLine="645"/>
        <w:rPr>
          <w:rFonts w:ascii="黑体" w:eastAsia="黑体" w:hAnsi="黑体" w:cs="黑体" w:hint="eastAsia"/>
          <w:sz w:val="32"/>
          <w:szCs w:val="32"/>
        </w:rPr>
      </w:pPr>
      <w:bookmarkStart w:id="48" w:name="_Toc7879_WPSOffice_Level2"/>
      <w:bookmarkStart w:id="49" w:name="_Toc25166_WPSOffice_Level2"/>
      <w:bookmarkStart w:id="50" w:name="_Toc23829_WPSOffice_Level2"/>
      <w:bookmarkStart w:id="51" w:name="_Toc22783_WPSOffice_Level2"/>
      <w:bookmarkStart w:id="52" w:name="_Toc13516_WPSOffice_Level2"/>
      <w:bookmarkStart w:id="53" w:name="_Toc2158_WPSOffice_Level2"/>
      <w:r>
        <w:rPr>
          <w:rFonts w:ascii="黑体" w:eastAsia="黑体" w:hAnsi="黑体" w:cs="黑体" w:hint="eastAsia"/>
          <w:sz w:val="32"/>
          <w:szCs w:val="32"/>
        </w:rPr>
        <w:t>五、一般公共预算财政拨款收入支出决算</w:t>
      </w:r>
      <w:bookmarkEnd w:id="48"/>
      <w:bookmarkEnd w:id="49"/>
      <w:bookmarkEnd w:id="50"/>
      <w:bookmarkEnd w:id="51"/>
      <w:r>
        <w:rPr>
          <w:rFonts w:ascii="黑体" w:eastAsia="黑体" w:hAnsi="黑体" w:cs="黑体" w:hint="eastAsia"/>
          <w:sz w:val="32"/>
          <w:szCs w:val="32"/>
        </w:rPr>
        <w:t>公开表（见正文附件）</w:t>
      </w:r>
      <w:bookmarkEnd w:id="52"/>
      <w:bookmarkEnd w:id="53"/>
      <w:r>
        <w:rPr>
          <w:rFonts w:ascii="黑体" w:eastAsia="黑体" w:hAnsi="黑体" w:cs="黑体" w:hint="eastAsia"/>
          <w:sz w:val="32"/>
          <w:szCs w:val="32"/>
        </w:rPr>
        <w:t>。</w:t>
      </w:r>
    </w:p>
    <w:p w:rsidR="00B16EC7" w:rsidRDefault="00B16EC7" w:rsidP="00B16EC7">
      <w:pPr>
        <w:spacing w:before="100" w:beforeAutospacing="1" w:after="100" w:afterAutospacing="1"/>
        <w:ind w:firstLine="645"/>
        <w:rPr>
          <w:rFonts w:ascii="黑体" w:eastAsia="黑体" w:hAnsi="黑体" w:cs="黑体" w:hint="eastAsia"/>
          <w:sz w:val="32"/>
          <w:szCs w:val="32"/>
        </w:rPr>
      </w:pPr>
      <w:bookmarkStart w:id="54" w:name="_Toc2632_WPSOffice_Level2"/>
      <w:bookmarkStart w:id="55" w:name="_Toc8373_WPSOffice_Level2"/>
      <w:bookmarkStart w:id="56" w:name="_Toc17283_WPSOffice_Level2"/>
      <w:bookmarkStart w:id="57" w:name="_Toc25362_WPSOffice_Level2"/>
      <w:bookmarkStart w:id="58" w:name="_Toc17833_WPSOffice_Level2"/>
      <w:bookmarkStart w:id="59" w:name="_Toc5343_WPSOffice_Level2"/>
      <w:r>
        <w:rPr>
          <w:rFonts w:ascii="黑体" w:eastAsia="黑体" w:hAnsi="黑体" w:cs="黑体" w:hint="eastAsia"/>
          <w:sz w:val="32"/>
          <w:szCs w:val="32"/>
        </w:rPr>
        <w:t>六、一般公共预算财政拨款基本支出决算</w:t>
      </w:r>
      <w:bookmarkEnd w:id="54"/>
      <w:bookmarkEnd w:id="55"/>
      <w:bookmarkEnd w:id="56"/>
      <w:bookmarkEnd w:id="57"/>
      <w:bookmarkEnd w:id="58"/>
      <w:bookmarkEnd w:id="59"/>
      <w:r>
        <w:rPr>
          <w:rFonts w:ascii="黑体" w:eastAsia="黑体" w:hAnsi="黑体" w:cs="黑体" w:hint="eastAsia"/>
          <w:sz w:val="32"/>
          <w:szCs w:val="32"/>
        </w:rPr>
        <w:t>公开表（见正文附件）。</w:t>
      </w:r>
    </w:p>
    <w:p w:rsidR="00B16EC7" w:rsidRDefault="00B16EC7" w:rsidP="00B16EC7">
      <w:pPr>
        <w:spacing w:before="100" w:beforeAutospacing="1" w:after="100" w:afterAutospacing="1"/>
        <w:ind w:firstLine="645"/>
        <w:rPr>
          <w:rFonts w:ascii="黑体" w:eastAsia="黑体" w:hAnsi="黑体" w:cs="黑体" w:hint="eastAsia"/>
          <w:sz w:val="32"/>
          <w:szCs w:val="32"/>
        </w:rPr>
      </w:pPr>
      <w:bookmarkStart w:id="60" w:name="_Toc6020_WPSOffice_Level2"/>
      <w:bookmarkStart w:id="61" w:name="_Toc11799_WPSOffice_Level2"/>
      <w:bookmarkStart w:id="62" w:name="_Toc13345_WPSOffice_Level2"/>
      <w:bookmarkStart w:id="63" w:name="_Toc5594_WPSOffice_Level2"/>
      <w:bookmarkStart w:id="64" w:name="_Toc21310_WPSOffice_Level2"/>
      <w:bookmarkStart w:id="65" w:name="_Toc1533_WPSOffice_Level2"/>
      <w:r>
        <w:rPr>
          <w:rFonts w:ascii="黑体" w:eastAsia="黑体" w:hAnsi="黑体" w:cs="黑体" w:hint="eastAsia"/>
          <w:sz w:val="32"/>
          <w:szCs w:val="32"/>
        </w:rPr>
        <w:t>七、政府性基金预算财政拨款收入支出决算</w:t>
      </w:r>
      <w:bookmarkEnd w:id="60"/>
      <w:bookmarkEnd w:id="61"/>
      <w:bookmarkEnd w:id="62"/>
      <w:bookmarkEnd w:id="63"/>
      <w:bookmarkEnd w:id="64"/>
      <w:bookmarkEnd w:id="65"/>
      <w:r>
        <w:rPr>
          <w:rFonts w:ascii="黑体" w:eastAsia="黑体" w:hAnsi="黑体" w:cs="黑体" w:hint="eastAsia"/>
          <w:sz w:val="32"/>
          <w:szCs w:val="32"/>
        </w:rPr>
        <w:t>公开表（见正文附件）。</w:t>
      </w:r>
    </w:p>
    <w:p w:rsidR="00B16EC7" w:rsidRDefault="00B16EC7" w:rsidP="00B16EC7">
      <w:pPr>
        <w:spacing w:before="100" w:beforeAutospacing="1" w:after="100" w:afterAutospacing="1"/>
        <w:ind w:firstLine="645"/>
        <w:rPr>
          <w:rFonts w:ascii="黑体" w:eastAsia="黑体" w:hAnsi="黑体" w:cs="黑体" w:hint="eastAsia"/>
          <w:sz w:val="32"/>
          <w:szCs w:val="32"/>
        </w:rPr>
      </w:pPr>
      <w:r>
        <w:rPr>
          <w:rFonts w:ascii="黑体" w:eastAsia="黑体" w:hAnsi="黑体" w:cs="黑体" w:hint="eastAsia"/>
          <w:sz w:val="32"/>
          <w:szCs w:val="32"/>
        </w:rPr>
        <w:t>八、国有资本经营预算财政拨款收入支出决算公开表（见正文附件）。</w:t>
      </w:r>
    </w:p>
    <w:p w:rsidR="00B16EC7" w:rsidRDefault="00B16EC7" w:rsidP="00B16EC7">
      <w:pPr>
        <w:spacing w:before="100" w:beforeAutospacing="1" w:after="100" w:afterAutospacing="1"/>
        <w:rPr>
          <w:rFonts w:ascii="黑体" w:eastAsia="黑体" w:hAnsi="黑体" w:cs="黑体" w:hint="eastAsia"/>
          <w:sz w:val="32"/>
          <w:szCs w:val="32"/>
        </w:rPr>
      </w:pPr>
      <w:bookmarkStart w:id="66" w:name="_Toc29886_WPSOffice_Level2"/>
      <w:bookmarkStart w:id="67" w:name="_Toc19961_WPSOffice_Level2"/>
      <w:bookmarkStart w:id="68" w:name="_Toc1820_WPSOffice_Level2"/>
      <w:bookmarkStart w:id="69" w:name="_Toc9377_WPSOffice_Level2"/>
      <w:r>
        <w:rPr>
          <w:rFonts w:ascii="黑体" w:eastAsia="黑体" w:hAnsi="黑体" w:cs="黑体" w:hint="eastAsia"/>
          <w:sz w:val="32"/>
          <w:szCs w:val="32"/>
        </w:rPr>
        <w:t xml:space="preserve">    九、一般公共预算财政拨款“三公”经费支出决算</w:t>
      </w:r>
      <w:bookmarkEnd w:id="66"/>
      <w:bookmarkEnd w:id="67"/>
      <w:bookmarkEnd w:id="68"/>
      <w:bookmarkEnd w:id="69"/>
      <w:r>
        <w:rPr>
          <w:rFonts w:ascii="黑体" w:eastAsia="黑体" w:hAnsi="黑体" w:cs="黑体" w:hint="eastAsia"/>
          <w:sz w:val="32"/>
          <w:szCs w:val="32"/>
        </w:rPr>
        <w:t>公开表（见正文附件）。</w:t>
      </w:r>
    </w:p>
    <w:p w:rsidR="00B16EC7" w:rsidRDefault="00B16EC7" w:rsidP="00B16EC7">
      <w:pPr>
        <w:spacing w:before="100" w:beforeAutospacing="1" w:after="100" w:afterAutospacing="1"/>
        <w:rPr>
          <w:rFonts w:ascii="黑体" w:eastAsia="黑体" w:hAnsi="黑体" w:cs="黑体" w:hint="eastAsia"/>
          <w:sz w:val="32"/>
          <w:szCs w:val="32"/>
        </w:rPr>
      </w:pPr>
      <w:r>
        <w:rPr>
          <w:rFonts w:ascii="黑体" w:eastAsia="黑体" w:hAnsi="黑体" w:cs="黑体" w:hint="eastAsia"/>
          <w:sz w:val="32"/>
          <w:szCs w:val="32"/>
        </w:rPr>
        <w:t xml:space="preserve">    十、政府性基金预算财政拨款“三公”经费支出决算公开表（见正文附件）。</w:t>
      </w:r>
    </w:p>
    <w:p w:rsidR="00B16EC7" w:rsidRDefault="00B16EC7" w:rsidP="00B16EC7">
      <w:pPr>
        <w:spacing w:before="100" w:beforeAutospacing="1" w:after="100" w:afterAutospacing="1"/>
        <w:rPr>
          <w:rFonts w:ascii="黑体" w:eastAsia="黑体" w:hAnsi="黑体" w:cs="黑体" w:hint="eastAsia"/>
          <w:sz w:val="32"/>
          <w:szCs w:val="32"/>
        </w:rPr>
      </w:pPr>
      <w:r>
        <w:rPr>
          <w:rFonts w:ascii="黑体" w:eastAsia="黑体" w:hAnsi="黑体" w:cs="黑体" w:hint="eastAsia"/>
          <w:sz w:val="32"/>
          <w:szCs w:val="32"/>
        </w:rPr>
        <w:lastRenderedPageBreak/>
        <w:t xml:space="preserve">    十一、国有资本经营预算财政拨款“三公”经费支出决算公开表（见正文附件）。</w:t>
      </w:r>
    </w:p>
    <w:p w:rsidR="00B16EC7" w:rsidRDefault="00B16EC7" w:rsidP="00B16EC7">
      <w:pPr>
        <w:spacing w:before="100" w:beforeAutospacing="1" w:after="100" w:afterAutospacing="1"/>
        <w:rPr>
          <w:rFonts w:ascii="黑体" w:eastAsia="黑体" w:hAnsi="黑体" w:cs="黑体" w:hint="eastAsia"/>
          <w:sz w:val="32"/>
          <w:szCs w:val="32"/>
        </w:rPr>
      </w:pPr>
    </w:p>
    <w:p w:rsidR="00B16EC7" w:rsidRDefault="00B16EC7" w:rsidP="00B16EC7">
      <w:pPr>
        <w:spacing w:before="100" w:beforeAutospacing="1" w:after="100" w:afterAutospacing="1"/>
        <w:jc w:val="center"/>
        <w:rPr>
          <w:rFonts w:ascii="黑体" w:eastAsia="黑体" w:hAnsi="ˎ̥" w:hint="eastAsia"/>
          <w:sz w:val="32"/>
          <w:szCs w:val="32"/>
        </w:rPr>
      </w:pPr>
      <w:bookmarkStart w:id="70" w:name="_Toc4402_WPSOffice_Level1"/>
      <w:bookmarkStart w:id="71" w:name="_Toc31264_WPSOffice_Level1"/>
      <w:bookmarkStart w:id="72" w:name="_Toc16686_WPSOffice_Level1"/>
      <w:bookmarkStart w:id="73" w:name="_Toc28629_WPSOffice_Level1"/>
      <w:bookmarkStart w:id="74" w:name="_Toc27590_WPSOffice_Level1"/>
      <w:bookmarkStart w:id="75" w:name="_Toc29683_WPSOffice_Level1"/>
      <w:r>
        <w:rPr>
          <w:rFonts w:ascii="黑体" w:eastAsia="黑体" w:hAnsi="ˎ̥" w:hint="eastAsia"/>
          <w:sz w:val="32"/>
          <w:szCs w:val="32"/>
        </w:rPr>
        <w:t>第三部分  海南软件职业技术学院2021年度部门决算情况说明</w:t>
      </w:r>
      <w:bookmarkEnd w:id="70"/>
      <w:bookmarkEnd w:id="71"/>
      <w:bookmarkEnd w:id="72"/>
      <w:bookmarkEnd w:id="73"/>
      <w:bookmarkEnd w:id="74"/>
      <w:bookmarkEnd w:id="75"/>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2021年度收入总计</w:t>
      </w:r>
      <w:r>
        <w:rPr>
          <w:rFonts w:ascii="仿宋_GB2312" w:eastAsia="仿宋_GB2312" w:hint="eastAsia"/>
          <w:sz w:val="32"/>
          <w:szCs w:val="32"/>
        </w:rPr>
        <w:t>22,342.46</w:t>
      </w:r>
      <w:r>
        <w:rPr>
          <w:rFonts w:ascii="仿宋_GB2312" w:eastAsia="仿宋_GB2312" w:hAnsi="ˎ̥" w:hint="eastAsia"/>
          <w:sz w:val="32"/>
          <w:szCs w:val="32"/>
        </w:rPr>
        <w:t>万元，支出总计</w:t>
      </w:r>
      <w:r>
        <w:rPr>
          <w:rFonts w:ascii="仿宋_GB2312" w:eastAsia="仿宋_GB2312" w:hint="eastAsia"/>
          <w:sz w:val="32"/>
          <w:szCs w:val="32"/>
        </w:rPr>
        <w:t>22,342.46</w:t>
      </w:r>
      <w:r>
        <w:rPr>
          <w:rFonts w:ascii="仿宋_GB2312" w:eastAsia="仿宋_GB2312" w:hAnsi="ˎ̥" w:hint="eastAsia"/>
          <w:sz w:val="32"/>
          <w:szCs w:val="32"/>
        </w:rPr>
        <w:t>万元，与2020年度相比，收入、支出总计各增加4</w:t>
      </w:r>
      <w:r>
        <w:rPr>
          <w:rFonts w:ascii="仿宋_GB2312" w:eastAsia="仿宋_GB2312" w:hint="eastAsia"/>
          <w:sz w:val="32"/>
          <w:szCs w:val="32"/>
        </w:rPr>
        <w:t>,</w:t>
      </w:r>
      <w:r>
        <w:rPr>
          <w:rFonts w:ascii="仿宋_GB2312" w:eastAsia="仿宋_GB2312" w:hAnsi="ˎ̥" w:hint="eastAsia"/>
          <w:sz w:val="32"/>
          <w:szCs w:val="32"/>
        </w:rPr>
        <w:t>741.15万元，增长26.94%。主要原因：一是学生人数增长，生均拨款相应增加；二是学费收入增加。年初结转结余</w:t>
      </w:r>
      <w:r>
        <w:rPr>
          <w:rFonts w:ascii="仿宋_GB2312" w:eastAsia="仿宋_GB2312" w:hint="eastAsia"/>
          <w:sz w:val="32"/>
          <w:szCs w:val="32"/>
        </w:rPr>
        <w:t>93.63</w:t>
      </w:r>
      <w:r>
        <w:rPr>
          <w:rFonts w:ascii="仿宋_GB2312" w:eastAsia="仿宋_GB2312" w:hAnsi="ˎ̥" w:hint="eastAsia"/>
          <w:sz w:val="32"/>
          <w:szCs w:val="32"/>
        </w:rPr>
        <w:t>万元，主要是财政拨款结转56.12万元和非财政拨款结转37.50万元，较2020年度决算数减少122.57万元，下降56.69%，主要原因是项目支出结转和结余较上年有所下降。结余分配</w:t>
      </w:r>
      <w:r>
        <w:rPr>
          <w:rFonts w:ascii="仿宋_GB2312" w:eastAsia="仿宋_GB2312" w:hint="eastAsia"/>
          <w:sz w:val="32"/>
          <w:szCs w:val="32"/>
        </w:rPr>
        <w:t>4.08</w:t>
      </w:r>
      <w:r>
        <w:rPr>
          <w:rFonts w:ascii="仿宋_GB2312" w:eastAsia="仿宋_GB2312" w:hAnsi="ˎ̥" w:hint="eastAsia"/>
          <w:sz w:val="32"/>
          <w:szCs w:val="32"/>
        </w:rPr>
        <w:t>万元，主要是年终将其他结余转非财政拨款结余分配</w:t>
      </w:r>
      <w:r>
        <w:rPr>
          <w:rFonts w:hint="eastAsia"/>
        </w:rPr>
        <w:t>，</w:t>
      </w:r>
      <w:r>
        <w:rPr>
          <w:rFonts w:ascii="仿宋_GB2312" w:eastAsia="仿宋_GB2312" w:hAnsi="ˎ̥" w:hint="eastAsia"/>
          <w:sz w:val="32"/>
          <w:szCs w:val="32"/>
        </w:rPr>
        <w:t>较2020年度决算数减少4.55万元，下降52.72%，主要原因是其他收入减少。年末结转结余</w:t>
      </w:r>
      <w:r>
        <w:rPr>
          <w:rFonts w:ascii="仿宋_GB2312" w:eastAsia="仿宋_GB2312" w:hint="eastAsia"/>
          <w:sz w:val="32"/>
          <w:szCs w:val="32"/>
        </w:rPr>
        <w:t>147.38</w:t>
      </w:r>
      <w:r>
        <w:rPr>
          <w:rFonts w:ascii="仿宋_GB2312" w:eastAsia="仿宋_GB2312" w:hAnsi="ˎ̥" w:hint="eastAsia"/>
          <w:sz w:val="32"/>
          <w:szCs w:val="32"/>
        </w:rPr>
        <w:t>万元，主要是财政拨款结转127.01万元，非财政拨款结转20.37万元，较2020年度决算数增加19.66万元，上升15.39%，主要原因是项目结转增加。</w:t>
      </w:r>
    </w:p>
    <w:p w:rsidR="00B16EC7" w:rsidRDefault="00B16EC7" w:rsidP="00B16EC7">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lastRenderedPageBreak/>
        <w:t xml:space="preserve">    </w:t>
      </w: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Pr>
          <w:rFonts w:ascii="仿宋_GB2312" w:eastAsia="仿宋_GB2312" w:hint="eastAsia"/>
          <w:sz w:val="32"/>
          <w:szCs w:val="32"/>
        </w:rPr>
        <w:t>22,248.84</w:t>
      </w:r>
      <w:r>
        <w:rPr>
          <w:rFonts w:ascii="仿宋_GB2312" w:eastAsia="仿宋_GB2312" w:hAnsi="ˎ̥" w:hint="eastAsia"/>
          <w:sz w:val="32"/>
          <w:szCs w:val="32"/>
        </w:rPr>
        <w:t>万元，其中：财政拨款收入</w:t>
      </w:r>
      <w:r>
        <w:rPr>
          <w:rFonts w:ascii="仿宋_GB2312" w:eastAsia="仿宋_GB2312" w:hint="eastAsia"/>
          <w:sz w:val="32"/>
          <w:szCs w:val="32"/>
        </w:rPr>
        <w:t>18,133.62</w:t>
      </w:r>
      <w:r>
        <w:rPr>
          <w:rFonts w:ascii="仿宋_GB2312" w:eastAsia="仿宋_GB2312" w:hAnsi="ˎ̥" w:hint="eastAsia"/>
          <w:sz w:val="32"/>
          <w:szCs w:val="32"/>
        </w:rPr>
        <w:t>万元，占81.50%；事业收入</w:t>
      </w:r>
      <w:r>
        <w:rPr>
          <w:rFonts w:ascii="仿宋_GB2312" w:eastAsia="仿宋_GB2312" w:hint="eastAsia"/>
          <w:sz w:val="32"/>
          <w:szCs w:val="32"/>
        </w:rPr>
        <w:t>3,777.57</w:t>
      </w:r>
      <w:r>
        <w:rPr>
          <w:rFonts w:ascii="仿宋_GB2312" w:eastAsia="仿宋_GB2312" w:hAnsi="ˎ̥" w:hint="eastAsia"/>
          <w:sz w:val="32"/>
          <w:szCs w:val="32"/>
        </w:rPr>
        <w:t>万元，占16.98%；其他收入</w:t>
      </w:r>
      <w:r>
        <w:rPr>
          <w:rFonts w:ascii="仿宋_GB2312" w:eastAsia="仿宋_GB2312" w:hint="eastAsia"/>
          <w:sz w:val="32"/>
          <w:szCs w:val="32"/>
        </w:rPr>
        <w:t>337.64</w:t>
      </w:r>
      <w:r>
        <w:rPr>
          <w:rFonts w:ascii="仿宋_GB2312" w:eastAsia="仿宋_GB2312" w:hAnsi="ˎ̥" w:hint="eastAsia"/>
          <w:sz w:val="32"/>
          <w:szCs w:val="32"/>
        </w:rPr>
        <w:t>万元，占1.52%。</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三、支出决算情况说明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本年支出合计22,191.01万元，其中：基本支出10,765.03万元，占48.51%；项目支出11,425.98万元，占51.49%；上缴上级支出0.00万元，占0.00%；经营支出0.00万元，占0.00%；对附属单位补助支出0.00万元，占0.00%。</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四、财政拨款收入支出决算总体情况说明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2021年度财政拨款收入总计18,189.74万元，支出总计18,189.74万元。与2020年度相比，财政拨款收入、支出总计各增加4,802.72万元，增长35.88%。主要原因是学生人数增长，教育投入相应增加。</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财政拨款年初结转结余56.12万元，主要是部分项目资金未能支出，较2020年度决算数减少82.05万元，下降59.38%，主要原因是一般公共预算财政拨款年初结转和结余减少。</w:t>
      </w:r>
    </w:p>
    <w:p w:rsidR="00B16EC7" w:rsidRDefault="00B16EC7" w:rsidP="00B16EC7">
      <w:pPr>
        <w:spacing w:before="100" w:beforeAutospacing="1" w:after="100" w:afterAutospacing="1"/>
        <w:ind w:firstLineChars="200" w:firstLine="640"/>
        <w:rPr>
          <w:rFonts w:ascii="仿宋" w:eastAsia="仿宋" w:hAnsi="仿宋" w:hint="eastAsia"/>
          <w:sz w:val="32"/>
          <w:szCs w:val="32"/>
        </w:rPr>
      </w:pPr>
      <w:r>
        <w:rPr>
          <w:rFonts w:ascii="仿宋" w:eastAsia="仿宋" w:hAnsi="仿宋" w:hint="eastAsia"/>
          <w:sz w:val="32"/>
          <w:szCs w:val="32"/>
        </w:rPr>
        <w:lastRenderedPageBreak/>
        <w:t>年末财政拨款结转结余127.01万元，主要是现代职业教育质量提升专项资金99.78万元、学生资助补助经费3.96万元、自然科学基金5.35万元、高新技术产业发展专项资金6.89万元、科技创新发展计划专项资金11.03万元，较2020年度年</w:t>
      </w:r>
      <w:proofErr w:type="gramStart"/>
      <w:r>
        <w:rPr>
          <w:rFonts w:ascii="仿宋" w:eastAsia="仿宋" w:hAnsi="仿宋" w:hint="eastAsia"/>
          <w:sz w:val="32"/>
          <w:szCs w:val="32"/>
        </w:rPr>
        <w:t>末决</w:t>
      </w:r>
      <w:proofErr w:type="gramEnd"/>
      <w:r>
        <w:rPr>
          <w:rFonts w:ascii="仿宋" w:eastAsia="仿宋" w:hAnsi="仿宋" w:hint="eastAsia"/>
          <w:sz w:val="32"/>
          <w:szCs w:val="32"/>
        </w:rPr>
        <w:t>算数增加36.79万元，增长40.78%，主要原因是中央资金结转。</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五、一般公共预算财政拨款支出决算情况说明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bookmarkStart w:id="76" w:name="_Toc17398_WPSOffice_Level2"/>
      <w:bookmarkStart w:id="77" w:name="_Toc13694_WPSOffice_Level2"/>
      <w:bookmarkStart w:id="78" w:name="_Toc19665_WPSOffice_Level2"/>
      <w:bookmarkStart w:id="79" w:name="_Toc9989_WPSOffice_Level2"/>
      <w:bookmarkStart w:id="80" w:name="_Toc23005_WPSOffice_Level2"/>
      <w:bookmarkStart w:id="81" w:name="_Toc21737_WPSOffice_Level2"/>
      <w:r>
        <w:rPr>
          <w:rFonts w:ascii="仿宋_GB2312" w:eastAsia="仿宋_GB2312" w:hAnsi="ˎ̥" w:hint="eastAsia"/>
          <w:sz w:val="32"/>
          <w:szCs w:val="32"/>
        </w:rPr>
        <w:t>（一）一般公共预算财政拨款支出决算总体情况</w:t>
      </w:r>
      <w:bookmarkEnd w:id="76"/>
      <w:bookmarkEnd w:id="77"/>
      <w:r>
        <w:rPr>
          <w:rFonts w:ascii="仿宋_GB2312" w:eastAsia="仿宋_GB2312" w:hAnsi="ˎ̥" w:hint="eastAsia"/>
          <w:sz w:val="32"/>
          <w:szCs w:val="32"/>
        </w:rPr>
        <w:t>。</w:t>
      </w:r>
      <w:bookmarkEnd w:id="78"/>
      <w:bookmarkEnd w:id="79"/>
      <w:bookmarkEnd w:id="80"/>
      <w:bookmarkEnd w:id="81"/>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2021年度一般公共预算财政拨款支出18,062.73万元，占本年支出合计的81.40%。与2020年度相比，一般公共预算财政拨款支出增加4,765.92万元，增长35.84%，主要原因是学生人数增加，教育投入加大。</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bookmarkStart w:id="82" w:name="_Toc2711_WPSOffice_Level2"/>
      <w:bookmarkStart w:id="83" w:name="_Toc18793_WPSOffice_Level2"/>
      <w:bookmarkStart w:id="84" w:name="_Toc19535_WPSOffice_Level2"/>
      <w:bookmarkStart w:id="85" w:name="_Toc27767_WPSOffice_Level2"/>
      <w:bookmarkStart w:id="86" w:name="_Toc19075_WPSOffice_Level2"/>
      <w:bookmarkStart w:id="87" w:name="_Toc23864_WPSOffice_Level2"/>
      <w:r>
        <w:rPr>
          <w:rFonts w:ascii="仿宋_GB2312" w:eastAsia="仿宋_GB2312" w:hAnsi="ˎ̥" w:hint="eastAsia"/>
          <w:sz w:val="32"/>
          <w:szCs w:val="32"/>
        </w:rPr>
        <w:t>（二）一般公共预算财政拨款支出决算结构情况</w:t>
      </w:r>
      <w:bookmarkEnd w:id="82"/>
      <w:bookmarkEnd w:id="83"/>
      <w:r>
        <w:rPr>
          <w:rFonts w:ascii="仿宋_GB2312" w:eastAsia="仿宋_GB2312" w:hAnsi="ˎ̥" w:hint="eastAsia"/>
          <w:sz w:val="32"/>
          <w:szCs w:val="32"/>
        </w:rPr>
        <w:t>。</w:t>
      </w:r>
      <w:bookmarkEnd w:id="84"/>
      <w:bookmarkEnd w:id="85"/>
      <w:bookmarkEnd w:id="86"/>
      <w:bookmarkEnd w:id="87"/>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一般公共预算财政拨款支出18,062.73万元，主要用于以下方面：教育（类）支出16,732.60万元，占92.64%；科学技术（类）支出12.34万元，占0.07%；社会保障和就业（类）支出737.94万元，占4.09%；卫生健康（类）支出240.43万元，占1.33%；住房保障（类）支出339.43万元，占1.88%。</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bookmarkStart w:id="88" w:name="_Toc25136_WPSOffice_Level2"/>
      <w:bookmarkStart w:id="89" w:name="_Toc29364_WPSOffice_Level2"/>
      <w:bookmarkStart w:id="90" w:name="_Toc21701_WPSOffice_Level2"/>
      <w:bookmarkStart w:id="91" w:name="_Toc22318_WPSOffice_Level2"/>
      <w:bookmarkStart w:id="92" w:name="_Toc15415_WPSOffice_Level2"/>
      <w:bookmarkStart w:id="93" w:name="_Toc9502_WPSOffice_Level2"/>
      <w:r>
        <w:rPr>
          <w:rFonts w:ascii="仿宋_GB2312" w:eastAsia="仿宋_GB2312" w:hAnsi="ˎ̥" w:hint="eastAsia"/>
          <w:sz w:val="32"/>
          <w:szCs w:val="32"/>
        </w:rPr>
        <w:lastRenderedPageBreak/>
        <w:t>（三）一般公共预算财政拨款支出决算具体情况。</w:t>
      </w:r>
      <w:bookmarkEnd w:id="88"/>
      <w:bookmarkEnd w:id="89"/>
      <w:bookmarkEnd w:id="90"/>
      <w:bookmarkEnd w:id="91"/>
      <w:bookmarkEnd w:id="92"/>
      <w:bookmarkEnd w:id="93"/>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2021年度一般公共预算财政拨款支出年初预算为17,894.86万元，支出决算为18,062.73万元，完成年初预算的100.94%。其中：</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1.教育支出（类）职业教育（款）中等职业教（项）。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年初预算为403.20万元，支出决算为454.67万元，完成年初预算的112.77%。决算数大于预算数的主要原因是预算执行过程中上级部门拨入资金。</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 教育支出（类）职业教育（款）高等职业教（项）。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年初预算为16,197.54万元，支出决算为16,277.93万元，完成年初预算的100.5%。决算数大于预算数的主要原因：一是历年结转和结余无法在年初预算数中体现；二是预算执行过程中上级部门拨入资金。</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3.科学技术支出（类）基础研究（款）自然科学基金（项）。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年初预算为0万元，支出决算为7.34万元。决算数大于预算数的主要原因是历年结转和结余无法在年初预算数中体现。</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4. 科学技术支出（类）其他科学技术支出（款）科技奖励（项）。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年初预算为0万元，支出决算为5万元。决算数大于预算数的主要原因是历年结转和结余无法在年初预算数中体现。。</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5.社会保障和就业支出（类）行政事业单位养老支出（款）事业单位离退休（项）。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年初预算为32.28万元，支出决算为34.11万元，完成年初预算的105.67%。决算数大于预算数的主要原因是追加预算资金。</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6. 社会保障和就业支出（类）行政事业单位养老支出（款）机关事业单位基本养老保险缴费支出（项）。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年初预算为452.58万元，支出决算为452.58万元，完成年初预算的100.00%。</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7. 社会保障和就业支出（类）行政事业单位养老支出（款）机关事业单位职业年金缴费支出（项）。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年初预算为226.29万元，支出决算为226.29万元，完成年初预算的100.00%。</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8. 社会保障和就业支出（类）抚恤（款）死亡抚恤（项）。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年初预算为0万元，支出决算为21.85万元。决算数大于预算数的主要原因是追加预算资金。</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9. 社会保障和就业支出（类）抚恤（款）其他优抚支出（项）。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年初预算为3.11万元，支出决算为3.11万元，完成年初预算的100.00%。</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10. 卫生健康支出（类）行政事业单位医疗（款）事业单位医疗（项）。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年初预算为240.43万元，支出决算为240.43万元，完成年初预算的100.00%。</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11. 住房保障支出（类）住房改革支出（款）住房公积金（项）。</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年初预算为339.43万元，支出决算为339.43万元，完成年初预算的100.00%。</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六、一般公共预算财政拨款基本支出决算情况说明。</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bookmarkStart w:id="94" w:name="_GoBack"/>
      <w:bookmarkEnd w:id="94"/>
      <w:r>
        <w:rPr>
          <w:rFonts w:ascii="仿宋_GB2312" w:eastAsia="仿宋_GB2312" w:hAnsi="ˎ̥" w:hint="eastAsia"/>
          <w:sz w:val="32"/>
          <w:szCs w:val="32"/>
        </w:rPr>
        <w:lastRenderedPageBreak/>
        <w:t>2021年度财政拨款基本支出6,968.59万元，其中：人员经费5,775.77万元，主要包括：工资福利支出中的基本工资、津贴补贴、绩效工资、机关事业单位基本养老保险缴费、职业年金缴费、职工基本医疗保险缴费、其他社会保障缴费、住房公积金、医疗费、其他工资福利支出；对个人和家庭的补助中的离休费、抚恤金、生活补助、助学金、奖励金、其他对个人和家庭的补助。公用经费1,192.82万元，主要包括：商品和服务支出中的办公费、印刷费、手续费、水费、电费、邮电费、物业管理费、差旅费、维修（护）费、租赁费、培训费、公务接待费、专用材料费、专用燃料费、劳务费、委托业务费、工会经费、公务用车运行维护费、其他交通费用、税金及附加费用、其他商品和服务支出；资本性支出中的办公设备购置、专用设备购置。</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t>七、政府性基金预算财政拨款支出决算情况说明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（一）政府性基金预算财政拨款支出决算总体情况。</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2021年度政府性基金预算财政拨款支出0.00万元，占本年支出合计的0.00%。</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（二）政府性基金预算财政拨款支出决算结构情况。</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2021年度政府性基金预算财政拨款支出0.00万元。</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（三）政府性基金预算财政拨款支出决算具体情况。</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2021年度政府性基金预算财政拨款支出年初预算为0.00万元。</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八、国有资本经营预算财政拨款支出决算情况说明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（一）国有资本经营预算财政拨款支出决算总体情况。</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2021年度国有资本经营预算财政拨款支出0.00万元，占本年支出合计的0.00%。</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（二）国有资本经营预算财政拨款支出决算结构情况。</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2021年度国有资本经营预算财政拨款支出0.00万元。</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（三）国有资本经营预算财政拨款支出决算具体情况。</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2021年度国有资本经营预算财政拨款支出年初预算为0万元。</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九、一般公共预算财政拨款“三公”经费支出决算情况说明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（一）一般公共预算财政拨款“三公”经费支出决算总体情况说明。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2021年度一般公共预算财政拨款“三公”经费支出预算为26.96万元，支出决算为18.92万元，完成预算的70.18%。</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（二）一般公共预算财政拨款“三公”经费支出决算具体情况说明。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一般公共预算财政拨款“三公”经费支出决算中，因公出国（境）费支出决算0.00万元，占0.00%；公务用车购置及运行维护费支出决算12.18万元，占64.38%；公务接待费支出决算6.74万元，占35.62%。具体情况如下：</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1.因公出国（境）费支出0.00万元。全年安排因公出国（境）团组0个，因公出国（境）0人次。</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2.公务用车购置及运行维护费支出12.18万元。其中：</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公务用车购置支出0.00万元，全年购置公务用车0辆，年末公务用车保有量4辆。</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公务用车运行维护费支出12.18万元，主要用于燃料费、维修费、年审费、保险费等项目。</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公务用车购置及运行费支出决算数比预算数减少0.02万元，下降0.16%。主要原因是公务用车报废两辆，车辆运行维护费下降。</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国内接待费支出6.74万元，国内公务接待92批次，接待699人次；主要用于其他院校及企业来校洽谈校企合作等事宜、邀请专家来校讲座等。</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国（境）外接待费支出0万元，国（境）外公务接待0批次，接待0人次。</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公务接待费支出决算数比预算数减少8.02万元，下降54.34%。主要原因是厉行节约，严格控制支出。</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十、政府性基金预算财政拨款“三公”经费支出决算情况说明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2021年度政府性基金预算财政拨款“三公”经费支出合计0.00万元。其中：因公出国（境）费支出决算0.00万元，占0.00%；公务用车购置及运行维护费支出决算0.00万元，占0.00%；公务接待费支出决算0.00万元，占0.00%。</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十一、国有资本经营预算财政拨款“三公”经费支出决算情况说明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国有资本经营预算财政拨款“三公”经费支出合计0.00万元。其中：因公出国（境）费支出决算0.00万元，占0.00%；公务用车购置及运行维护费支出决算0.00万元，占0.00%；公务接待费支出决算0.00万元，占0.00%。</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lastRenderedPageBreak/>
        <w:t>十二、预算绩效情况说明。</w:t>
      </w:r>
    </w:p>
    <w:p w:rsidR="00B16EC7" w:rsidRDefault="00B16EC7" w:rsidP="00B16EC7">
      <w:pPr>
        <w:spacing w:before="100" w:beforeAutospacing="1" w:after="100" w:afterAutospacing="1" w:line="578" w:lineRule="exact"/>
        <w:ind w:firstLineChars="200" w:firstLine="640"/>
        <w:rPr>
          <w:rFonts w:ascii="仿宋_GB2312" w:eastAsia="仿宋_GB2312" w:hint="eastAsia"/>
          <w:sz w:val="32"/>
          <w:szCs w:val="32"/>
        </w:rPr>
      </w:pPr>
      <w:r>
        <w:rPr>
          <w:rFonts w:ascii="仿宋_GB2312" w:eastAsia="仿宋_GB2312" w:hint="eastAsia"/>
          <w:sz w:val="32"/>
          <w:szCs w:val="32"/>
        </w:rPr>
        <w:t>根据财政预算管理要求，我单位组织对2021年度一般公共预算项目支出全面开展绩效自评。自评项目7项，主要是省级教育发展专项资金、现代职业教育质量提升资金、学生资助补助经费、选派来</w:t>
      </w:r>
      <w:proofErr w:type="gramStart"/>
      <w:r>
        <w:rPr>
          <w:rFonts w:ascii="仿宋_GB2312" w:eastAsia="仿宋_GB2312" w:hint="eastAsia"/>
          <w:sz w:val="32"/>
          <w:szCs w:val="32"/>
        </w:rPr>
        <w:t>琼干部</w:t>
      </w:r>
      <w:proofErr w:type="gramEnd"/>
      <w:r>
        <w:rPr>
          <w:rFonts w:ascii="仿宋_GB2312" w:eastAsia="仿宋_GB2312" w:hint="eastAsia"/>
          <w:sz w:val="32"/>
          <w:szCs w:val="32"/>
        </w:rPr>
        <w:t>保障、校园后勤产业文化、人才引进与师资队伍建设、学生事务补助项目，涉及资金8</w:t>
      </w:r>
      <w:r>
        <w:rPr>
          <w:rFonts w:ascii="仿宋_GB2312" w:eastAsia="仿宋_GB2312" w:hAnsi="ˎ̥" w:hint="eastAsia"/>
          <w:sz w:val="32"/>
          <w:szCs w:val="32"/>
        </w:rPr>
        <w:t>,</w:t>
      </w:r>
      <w:r>
        <w:rPr>
          <w:rFonts w:ascii="仿宋_GB2312" w:eastAsia="仿宋_GB2312" w:hint="eastAsia"/>
          <w:sz w:val="32"/>
          <w:szCs w:val="32"/>
        </w:rPr>
        <w:t>161.13万元，自评覆盖率达100%。从评价情况来看，除受到疫情等客观环境影响某些绩效目标与预期有偏差外，其余项目按照预算和实施计划，基本达到预期绩效目标。</w:t>
      </w:r>
    </w:p>
    <w:p w:rsidR="00B16EC7" w:rsidRDefault="00B16EC7" w:rsidP="00B16EC7">
      <w:pPr>
        <w:spacing w:before="100" w:beforeAutospacing="1" w:after="100" w:afterAutospacing="1"/>
        <w:ind w:firstLineChars="200" w:firstLine="640"/>
        <w:rPr>
          <w:rFonts w:ascii="黑体" w:eastAsia="黑体" w:hAnsi="黑体" w:cs="黑体" w:hint="eastAsia"/>
          <w:bCs/>
          <w:sz w:val="32"/>
          <w:szCs w:val="32"/>
        </w:rPr>
      </w:pPr>
      <w:r>
        <w:rPr>
          <w:rFonts w:ascii="黑体" w:eastAsia="黑体" w:hAnsi="黑体" w:cs="黑体" w:hint="eastAsia"/>
          <w:bCs/>
          <w:sz w:val="32"/>
          <w:szCs w:val="32"/>
        </w:rPr>
        <w:t>十三、其他重要事项情况说明。</w:t>
      </w:r>
    </w:p>
    <w:p w:rsidR="00B16EC7" w:rsidRDefault="00B16EC7" w:rsidP="00B16EC7">
      <w:pPr>
        <w:spacing w:before="100" w:beforeAutospacing="1" w:after="100" w:afterAutospacing="1"/>
        <w:ind w:firstLineChars="200" w:firstLine="643"/>
        <w:rPr>
          <w:rFonts w:ascii="楷体" w:eastAsia="楷体" w:hAnsi="楷体" w:cs="楷体" w:hint="eastAsia"/>
          <w:b/>
          <w:sz w:val="32"/>
          <w:szCs w:val="32"/>
        </w:rPr>
      </w:pPr>
      <w:bookmarkStart w:id="95" w:name="_Toc5978_WPSOffice_Level2"/>
      <w:bookmarkStart w:id="96" w:name="_Toc23598_WPSOffice_Level2"/>
      <w:bookmarkStart w:id="97" w:name="_Toc32639_WPSOffice_Level2"/>
      <w:bookmarkStart w:id="98" w:name="_Toc18325_WPSOffice_Level2"/>
      <w:bookmarkStart w:id="99" w:name="_Toc15262_WPSOffice_Level2"/>
      <w:bookmarkStart w:id="100" w:name="_Toc1556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2021年度海南软件职业技术学院机关运行经费0万元（事业单位没有机关运行经费支出）。</w:t>
      </w:r>
    </w:p>
    <w:p w:rsidR="00B16EC7" w:rsidRDefault="00B16EC7" w:rsidP="00B16EC7">
      <w:pPr>
        <w:spacing w:before="100" w:beforeAutospacing="1" w:after="100" w:afterAutospacing="1"/>
        <w:ind w:firstLineChars="200" w:firstLine="643"/>
        <w:rPr>
          <w:rFonts w:ascii="楷体" w:eastAsia="楷体" w:hAnsi="楷体" w:cs="楷体" w:hint="eastAsia"/>
          <w:b/>
          <w:sz w:val="32"/>
          <w:szCs w:val="32"/>
        </w:rPr>
      </w:pPr>
      <w:bookmarkStart w:id="101" w:name="_Toc3131_WPSOffice_Level2"/>
      <w:bookmarkStart w:id="102" w:name="_Toc25333_WPSOffice_Level2"/>
      <w:bookmarkStart w:id="103" w:name="_Toc32689_WPSOffice_Level2"/>
      <w:bookmarkStart w:id="104" w:name="_Toc23966_WPSOffice_Level2"/>
      <w:bookmarkStart w:id="105" w:name="_Toc30383_WPSOffice_Level2"/>
      <w:bookmarkStart w:id="106" w:name="_Toc13084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2021年度海南软件职业技术学院政府采购支出总额809.90万元，其中：政府采购货物支出809.90万元、政府采购工程支出0万元、政府采购服务支出0万元。授予中小企业合同金额0万元，占政府采购支出总额的0.00%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合同金额0万元，占政府采购支出总额的0.00%。</w:t>
      </w:r>
    </w:p>
    <w:p w:rsidR="00B16EC7" w:rsidRDefault="00B16EC7" w:rsidP="00B16EC7">
      <w:pPr>
        <w:spacing w:before="100" w:beforeAutospacing="1" w:after="100" w:afterAutospacing="1"/>
        <w:ind w:firstLineChars="200" w:firstLine="643"/>
        <w:rPr>
          <w:rFonts w:ascii="楷体" w:eastAsia="楷体" w:hAnsi="楷体" w:cs="楷体" w:hint="eastAsia"/>
          <w:b/>
          <w:sz w:val="32"/>
          <w:szCs w:val="32"/>
        </w:rPr>
      </w:pPr>
      <w:bookmarkStart w:id="107" w:name="_Toc6016_WPSOffice_Level2"/>
      <w:bookmarkStart w:id="108" w:name="_Toc527_WPSOffice_Level2"/>
      <w:bookmarkStart w:id="109" w:name="_Toc10902_WPSOffice_Level2"/>
      <w:bookmarkStart w:id="110" w:name="_Toc15129_WPSOffice_Level2"/>
      <w:bookmarkStart w:id="111" w:name="_Toc19989_WPSOffice_Level2"/>
      <w:bookmarkStart w:id="112" w:name="_Toc29584_WPSOffice_Level2"/>
      <w:r>
        <w:rPr>
          <w:rFonts w:ascii="楷体" w:eastAsia="楷体" w:hAnsi="楷体" w:cs="楷体" w:hint="eastAsia"/>
          <w:b/>
          <w:sz w:val="32"/>
          <w:szCs w:val="32"/>
        </w:rPr>
        <w:lastRenderedPageBreak/>
        <w:t>（三）国有资产占用情况。</w:t>
      </w:r>
      <w:bookmarkEnd w:id="107"/>
      <w:bookmarkEnd w:id="108"/>
      <w:bookmarkEnd w:id="109"/>
      <w:bookmarkEnd w:id="110"/>
      <w:bookmarkEnd w:id="111"/>
      <w:bookmarkEnd w:id="112"/>
    </w:p>
    <w:p w:rsidR="00B16EC7" w:rsidRDefault="00B16EC7" w:rsidP="00B16EC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截至2021年12月31日，本单位占用房屋面积187,746.19平方米，其中：办公用房187,746.19平方米，业务用房0平方米，其他（不含构筑物）0平方米。</w:t>
      </w:r>
    </w:p>
    <w:p w:rsidR="00B16EC7" w:rsidRDefault="00B16EC7" w:rsidP="00B16EC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本部门共有车辆4辆，从车辆种类说明：轿车4辆、越野车0辆、小型载客汽车0辆、大中型载客汽车0辆、其他车型0辆；从车辆使用情况说明：副部（省）级及以上领导用车0辆、主要领导干部用车0辆、机要通信用车0辆、应急保障用车0辆、执法执勤用车0辆、特种专业技术用车0辆、离退休干部用车0辆、其他用车4辆。</w:t>
      </w:r>
    </w:p>
    <w:p w:rsidR="00B16EC7" w:rsidRDefault="00B16EC7" w:rsidP="00B16EC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单位价值50万元（含）以上通用设备0台（套），单价100万元（含）以上专用设备0台（套）。</w:t>
      </w:r>
    </w:p>
    <w:p w:rsidR="00B16EC7" w:rsidRDefault="00B16EC7" w:rsidP="00B16EC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年末在建工程953.20万元。</w:t>
      </w:r>
    </w:p>
    <w:p w:rsidR="00B16EC7" w:rsidRDefault="00B16EC7" w:rsidP="00B16EC7">
      <w:pPr>
        <w:spacing w:before="100" w:beforeAutospacing="1" w:after="100" w:afterAutospacing="1"/>
        <w:jc w:val="center"/>
        <w:rPr>
          <w:rFonts w:ascii="黑体" w:eastAsia="黑体" w:hAnsi="ˎ̥" w:hint="eastAsia"/>
          <w:sz w:val="32"/>
          <w:szCs w:val="32"/>
        </w:rPr>
      </w:pPr>
      <w:bookmarkStart w:id="113" w:name="_Toc17580_WPSOffice_Level1"/>
      <w:bookmarkStart w:id="114" w:name="_Toc15425_WPSOffice_Level1"/>
      <w:bookmarkStart w:id="115" w:name="_Toc4398_WPSOffice_Level1"/>
      <w:bookmarkStart w:id="116" w:name="_Toc8808_WPSOffice_Level1"/>
      <w:bookmarkStart w:id="117" w:name="_Toc11039_WPSOffice_Level1"/>
      <w:bookmarkStart w:id="118" w:name="_Toc8874_WPSOffice_Level1"/>
    </w:p>
    <w:p w:rsidR="00B16EC7" w:rsidRDefault="00B16EC7" w:rsidP="00B16EC7">
      <w:pPr>
        <w:spacing w:before="100" w:beforeAutospacing="1" w:after="100" w:afterAutospacing="1"/>
        <w:jc w:val="center"/>
        <w:rPr>
          <w:rFonts w:ascii="黑体" w:eastAsia="黑体" w:hAnsi="ˎ̥" w:hint="eastAsia"/>
          <w:sz w:val="32"/>
          <w:szCs w:val="32"/>
        </w:rPr>
      </w:pPr>
      <w:r>
        <w:rPr>
          <w:rFonts w:ascii="黑体" w:eastAsia="黑体" w:hAnsi="ˎ̥" w:hint="eastAsia"/>
          <w:sz w:val="32"/>
          <w:szCs w:val="32"/>
        </w:rPr>
        <w:t>第四部分  名词解释</w:t>
      </w:r>
      <w:bookmarkEnd w:id="113"/>
      <w:bookmarkEnd w:id="114"/>
      <w:bookmarkEnd w:id="115"/>
      <w:bookmarkEnd w:id="116"/>
      <w:bookmarkEnd w:id="117"/>
      <w:bookmarkEnd w:id="118"/>
    </w:p>
    <w:p w:rsidR="00B16EC7" w:rsidRDefault="00B16EC7" w:rsidP="00B16EC7">
      <w:pPr>
        <w:pStyle w:val="a5"/>
        <w:numPr>
          <w:ilvl w:val="0"/>
          <w:numId w:val="3"/>
        </w:numPr>
        <w:spacing w:before="100" w:beforeAutospacing="1" w:after="100" w:afterAutospacing="1"/>
        <w:ind w:firstLineChars="0"/>
        <w:rPr>
          <w:rFonts w:ascii="仿宋_GB2312" w:eastAsia="仿宋_GB2312" w:hAnsi="ˎ̥" w:hint="eastAsia"/>
          <w:sz w:val="32"/>
          <w:szCs w:val="32"/>
        </w:rPr>
      </w:pPr>
      <w:r>
        <w:rPr>
          <w:rFonts w:ascii="仿宋_GB2312" w:eastAsia="仿宋_GB2312" w:hAnsi="ˎ̥" w:hint="eastAsia"/>
          <w:sz w:val="32"/>
          <w:szCs w:val="32"/>
        </w:rPr>
        <w:t>财政拨款收入：指同级政府财政部</w:t>
      </w:r>
      <w:proofErr w:type="gramStart"/>
      <w:r>
        <w:rPr>
          <w:rFonts w:ascii="仿宋_GB2312" w:eastAsia="仿宋_GB2312" w:hAnsi="ˎ̥" w:hint="eastAsia"/>
          <w:sz w:val="32"/>
          <w:szCs w:val="32"/>
        </w:rPr>
        <w:t>门当年</w:t>
      </w:r>
      <w:proofErr w:type="gramEnd"/>
      <w:r>
        <w:rPr>
          <w:rFonts w:ascii="仿宋_GB2312" w:eastAsia="仿宋_GB2312" w:hAnsi="ˎ̥" w:hint="eastAsia"/>
          <w:sz w:val="32"/>
          <w:szCs w:val="32"/>
        </w:rPr>
        <w:t>拨付的</w:t>
      </w:r>
    </w:p>
    <w:p w:rsidR="00B16EC7" w:rsidRDefault="00B16EC7" w:rsidP="00B16EC7">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t>各</w:t>
      </w:r>
      <w:proofErr w:type="gramStart"/>
      <w:r>
        <w:rPr>
          <w:rFonts w:ascii="仿宋_GB2312" w:eastAsia="仿宋_GB2312" w:hAnsi="ˎ̥" w:hint="eastAsia"/>
          <w:sz w:val="32"/>
          <w:szCs w:val="32"/>
        </w:rPr>
        <w:t>类财政</w:t>
      </w:r>
      <w:proofErr w:type="gramEnd"/>
      <w:r>
        <w:rPr>
          <w:rFonts w:ascii="仿宋_GB2312" w:eastAsia="仿宋_GB2312" w:hAnsi="ˎ̥" w:hint="eastAsia"/>
          <w:sz w:val="32"/>
          <w:szCs w:val="32"/>
        </w:rPr>
        <w:t>拨款。</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二、上级补助收入：指事业单位从主管部门和上级单位取得的非财政补助收入。</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三、事业收入：指事业单位开展专业业务活动及辅助活动取得的收入。</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四、经营收入：指事业单位在专业业务活动及其辅助活动之外开展非独立核算经营活动取得的收入。</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五、附属单位上缴收入：指事业单位取得附属独立核算单位根据有关规定上缴的收入。</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六、其他收入：指除上述“财政拨款收入”“事业收入”“上级补助收入”“经营收入”“附属单位上缴收入”等以外的收入。</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八、年初结转和结余：指以前年度尚未完成、结转到本年按有关规定继续使用的资金。</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九、结余分配：指事业单位按规定提取的专用基金和缴纳的所得税。</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十、年末结转和结余：指本年度或以前年度预算安排、因客观条件发生变化无法按原计划实施，需要延迟到以后年度按有关规定继续使用的资金。</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十一、基本支出：指为保障机构正常运转、完成日常工作任务而发生的人员支出和公用支出。</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十二、项目支出：指在基本支出之外为完成特定行政任务和事业发展目标所发生的支出。</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十三、经营支出：指事业单位在专业业务活动及其辅助活动之外开展非独立核算经营活动发生的支出。</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十四、“三公”经费：纳入本级财政预决算管理的“三公”经费，是指本级部门用一般公共预算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拨款安排的因公出国（境）费、公务用车购置及运行维护费和公务接待费。其中，因公出国（境）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单位公务出国（境）的国际旅费、国外城市间交通费、住宿费、伙食费、培训费、公杂费等支出；公务用车购置及运行维护费反映单位公务用车车辆购置支出（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购置税、牌照费）及燃料费、维修费、过路过桥费、保险费、安全奖励费用等支出；公务接待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单位按规定开支的各类公务接待（含外宾接待）费用。</w:t>
      </w:r>
    </w:p>
    <w:p w:rsidR="00B16EC7" w:rsidRDefault="00B16EC7" w:rsidP="00B16EC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十五、机关运行经费：为保障行政单位（含参照公务员法管理的事业单位）运行用于购买货物和服务的各项资金，</w:t>
      </w:r>
      <w:r>
        <w:rPr>
          <w:rFonts w:ascii="仿宋_GB2312" w:eastAsia="仿宋_GB2312" w:hAnsi="ˎ̥" w:hint="eastAsia"/>
          <w:sz w:val="32"/>
          <w:szCs w:val="32"/>
        </w:rPr>
        <w:lastRenderedPageBreak/>
        <w:t>包括办公及印刷费、邮电费、差旅费、会议费、福利费、日常维修费、专用材料及一般设备购置费、办公用房水电费、办公用房取暖费、办公用房物业管理费、公务用车运行维护费以及其他费用。</w:t>
      </w:r>
    </w:p>
    <w:p w:rsidR="004D0607" w:rsidRPr="00B16EC7" w:rsidRDefault="004D0607"/>
    <w:sectPr w:rsidR="004D0607" w:rsidRPr="00B16EC7">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12" w:rsidRDefault="00190F12" w:rsidP="00B16EC7">
      <w:r>
        <w:separator/>
      </w:r>
    </w:p>
  </w:endnote>
  <w:endnote w:type="continuationSeparator" w:id="0">
    <w:p w:rsidR="00190F12" w:rsidRDefault="00190F12" w:rsidP="00B1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12" w:rsidRDefault="00190F12" w:rsidP="00B16EC7">
      <w:r>
        <w:separator/>
      </w:r>
    </w:p>
  </w:footnote>
  <w:footnote w:type="continuationSeparator" w:id="0">
    <w:p w:rsidR="00190F12" w:rsidRDefault="00190F12" w:rsidP="00B1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F85"/>
    <w:multiLevelType w:val="hybridMultilevel"/>
    <w:tmpl w:val="A61CF940"/>
    <w:lvl w:ilvl="0" w:tplc="A05C6EBC">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AF3636D"/>
    <w:multiLevelType w:val="hybridMultilevel"/>
    <w:tmpl w:val="A45AB24C"/>
    <w:lvl w:ilvl="0" w:tplc="539E55F2">
      <w:start w:val="6"/>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FC16F5F"/>
    <w:multiLevelType w:val="hybridMultilevel"/>
    <w:tmpl w:val="8668AAB2"/>
    <w:lvl w:ilvl="0" w:tplc="977613B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B2"/>
    <w:rsid w:val="00190F12"/>
    <w:rsid w:val="004D0607"/>
    <w:rsid w:val="00AC77B2"/>
    <w:rsid w:val="00B1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C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EC7"/>
    <w:rPr>
      <w:sz w:val="18"/>
      <w:szCs w:val="18"/>
    </w:rPr>
  </w:style>
  <w:style w:type="paragraph" w:styleId="a4">
    <w:name w:val="footer"/>
    <w:basedOn w:val="a"/>
    <w:link w:val="Char0"/>
    <w:uiPriority w:val="99"/>
    <w:unhideWhenUsed/>
    <w:rsid w:val="00B16EC7"/>
    <w:pPr>
      <w:tabs>
        <w:tab w:val="center" w:pos="4153"/>
        <w:tab w:val="right" w:pos="8306"/>
      </w:tabs>
      <w:snapToGrid w:val="0"/>
    </w:pPr>
    <w:rPr>
      <w:sz w:val="18"/>
      <w:szCs w:val="18"/>
    </w:rPr>
  </w:style>
  <w:style w:type="character" w:customStyle="1" w:styleId="Char0">
    <w:name w:val="页脚 Char"/>
    <w:basedOn w:val="a0"/>
    <w:link w:val="a4"/>
    <w:uiPriority w:val="99"/>
    <w:rsid w:val="00B16EC7"/>
    <w:rPr>
      <w:sz w:val="18"/>
      <w:szCs w:val="18"/>
    </w:rPr>
  </w:style>
  <w:style w:type="paragraph" w:styleId="a5">
    <w:name w:val="List Paragraph"/>
    <w:basedOn w:val="a"/>
    <w:uiPriority w:val="34"/>
    <w:qFormat/>
    <w:rsid w:val="00B16EC7"/>
    <w:pPr>
      <w:ind w:firstLineChars="200" w:firstLine="420"/>
    </w:pPr>
  </w:style>
  <w:style w:type="paragraph" w:customStyle="1" w:styleId="wpsoffice1">
    <w:name w:val="wpsoffice1"/>
    <w:basedOn w:val="a"/>
    <w:rsid w:val="00B16EC7"/>
    <w:pPr>
      <w:spacing w:before="100" w:beforeAutospacing="1" w:after="100" w:afterAutospacing="1"/>
    </w:pPr>
  </w:style>
  <w:style w:type="paragraph" w:customStyle="1" w:styleId="wpsoffice2">
    <w:name w:val="wpsoffice2"/>
    <w:basedOn w:val="a"/>
    <w:rsid w:val="00B16E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C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EC7"/>
    <w:rPr>
      <w:sz w:val="18"/>
      <w:szCs w:val="18"/>
    </w:rPr>
  </w:style>
  <w:style w:type="paragraph" w:styleId="a4">
    <w:name w:val="footer"/>
    <w:basedOn w:val="a"/>
    <w:link w:val="Char0"/>
    <w:uiPriority w:val="99"/>
    <w:unhideWhenUsed/>
    <w:rsid w:val="00B16EC7"/>
    <w:pPr>
      <w:tabs>
        <w:tab w:val="center" w:pos="4153"/>
        <w:tab w:val="right" w:pos="8306"/>
      </w:tabs>
      <w:snapToGrid w:val="0"/>
    </w:pPr>
    <w:rPr>
      <w:sz w:val="18"/>
      <w:szCs w:val="18"/>
    </w:rPr>
  </w:style>
  <w:style w:type="character" w:customStyle="1" w:styleId="Char0">
    <w:name w:val="页脚 Char"/>
    <w:basedOn w:val="a0"/>
    <w:link w:val="a4"/>
    <w:uiPriority w:val="99"/>
    <w:rsid w:val="00B16EC7"/>
    <w:rPr>
      <w:sz w:val="18"/>
      <w:szCs w:val="18"/>
    </w:rPr>
  </w:style>
  <w:style w:type="paragraph" w:styleId="a5">
    <w:name w:val="List Paragraph"/>
    <w:basedOn w:val="a"/>
    <w:uiPriority w:val="34"/>
    <w:qFormat/>
    <w:rsid w:val="00B16EC7"/>
    <w:pPr>
      <w:ind w:firstLineChars="200" w:firstLine="420"/>
    </w:pPr>
  </w:style>
  <w:style w:type="paragraph" w:customStyle="1" w:styleId="wpsoffice1">
    <w:name w:val="wpsoffice1"/>
    <w:basedOn w:val="a"/>
    <w:rsid w:val="00B16EC7"/>
    <w:pPr>
      <w:spacing w:before="100" w:beforeAutospacing="1" w:after="100" w:afterAutospacing="1"/>
    </w:pPr>
  </w:style>
  <w:style w:type="paragraph" w:customStyle="1" w:styleId="wpsoffice2">
    <w:name w:val="wpsoffice2"/>
    <w:basedOn w:val="a"/>
    <w:rsid w:val="00B16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hpproone400x64</dc:creator>
  <cp:keywords/>
  <dc:description/>
  <cp:lastModifiedBy>hpproone400x64</cp:lastModifiedBy>
  <cp:revision>3</cp:revision>
  <dcterms:created xsi:type="dcterms:W3CDTF">2022-09-08T01:10:00Z</dcterms:created>
  <dcterms:modified xsi:type="dcterms:W3CDTF">2022-09-08T01:15:00Z</dcterms:modified>
</cp:coreProperties>
</file>